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A2CBB">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510153</w:t>
      </w:r>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Bengaluru, India, August 25</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w:t>
      </w:r>
      <w:r>
        <w:rPr>
          <w:rFonts w:hint="default" w:ascii="Times New Roman" w:hAnsi="Times New Roman" w:cs="Times New Roman"/>
          <w:b/>
          <w:bCs/>
          <w:sz w:val="24"/>
          <w:highlight w:val="none"/>
        </w:rPr>
        <w:t xml:space="preserve"> 2025</w:t>
      </w:r>
    </w:p>
    <w:p w14:paraId="5E1118E0">
      <w:pPr>
        <w:tabs>
          <w:tab w:val="left" w:pos="1985"/>
        </w:tabs>
        <w:rPr>
          <w:rFonts w:ascii="Times New Roman" w:hAnsi="Times New Roman"/>
          <w:b/>
          <w:sz w:val="22"/>
          <w:highlight w:val="none"/>
        </w:rPr>
      </w:pPr>
    </w:p>
    <w:p w14:paraId="258FEDE0">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21</w:t>
      </w:r>
      <w:r>
        <w:rPr>
          <w:rFonts w:hint="eastAsia" w:ascii="Times New Roman" w:hAnsi="Times New Roman"/>
          <w:sz w:val="22"/>
          <w:highlight w:val="none"/>
        </w:rPr>
        <w:t>.</w:t>
      </w:r>
      <w:r>
        <w:rPr>
          <w:rFonts w:hint="eastAsia" w:ascii="Times New Roman" w:hAnsi="Times New Roman"/>
          <w:sz w:val="22"/>
          <w:highlight w:val="none"/>
          <w:lang w:val="en-US" w:eastAsia="zh-CN"/>
        </w:rPr>
        <w:t>5</w:t>
      </w:r>
    </w:p>
    <w:p w14:paraId="3CDEEB51">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1796E118">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performance requirements for SBFD</w:t>
      </w:r>
    </w:p>
    <w:bookmarkEnd w:id="4"/>
    <w:bookmarkEnd w:id="5"/>
    <w:p w14:paraId="02A05ED5">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829441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C77352C">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#104 meeting, the revised WID on SBFD was approved [1]. According to the WID, the objectives having RAN4 impact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6BC5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2BC40C03">
            <w:pPr>
              <w:numPr>
                <w:ilvl w:val="1"/>
                <w:numId w:val="3"/>
              </w:numPr>
              <w:tabs>
                <w:tab w:val="left" w:pos="72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enhancements for CLI handling [RAN1, RAN2, RAN3, RAN4]</w:t>
            </w:r>
          </w:p>
          <w:p w14:paraId="21B7D78C">
            <w:pPr>
              <w:numPr>
                <w:ilvl w:val="2"/>
                <w:numId w:val="3"/>
              </w:numPr>
              <w:tabs>
                <w:tab w:val="left" w:pos="720"/>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Information exchange among gNBs, including [RAN3]</w:t>
            </w:r>
          </w:p>
          <w:p w14:paraId="63DC6369">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Semi-static cell-specific SBFD time and frequency location configuration </w:t>
            </w:r>
          </w:p>
          <w:p w14:paraId="7B41AAF6">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Measurement resource configuration, i.e., SSB and/or periodic NZP CSI-RS </w:t>
            </w:r>
          </w:p>
          <w:p w14:paraId="21555D86">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Strongest DL beam information</w:t>
            </w:r>
          </w:p>
          <w:p w14:paraId="746F2682">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CLI-mitigation request</w:t>
            </w:r>
          </w:p>
          <w:p w14:paraId="29163B47">
            <w:pPr>
              <w:numPr>
                <w:ilvl w:val="2"/>
                <w:numId w:val="3"/>
              </w:numPr>
              <w:tabs>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UL resource muting for PUSCH, including [RAN1, RAN2, RAN4] </w:t>
            </w:r>
          </w:p>
          <w:p w14:paraId="23E0D360">
            <w:pPr>
              <w:numPr>
                <w:ilvl w:val="3"/>
                <w:numId w:val="3"/>
              </w:numPr>
              <w:tabs>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Indication/determination of UL resource muting for PUSCH based on semi-static configuration, assuming comb-2 for both DFT-S-OFDM and CP-OFDM in each allocated PRB and up to 2 symbols in time domain</w:t>
            </w:r>
          </w:p>
          <w:p w14:paraId="0D50F409">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PUSCH resource mapping, i.e., rate-matching around the muted REs</w:t>
            </w:r>
          </w:p>
          <w:p w14:paraId="618F2BB5">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UCI resource determination in symbols with muted REs</w:t>
            </w:r>
          </w:p>
          <w:p w14:paraId="6A4EDAC0">
            <w:pPr>
              <w:numPr>
                <w:ilvl w:val="2"/>
                <w:numId w:val="3"/>
              </w:numPr>
              <w:tabs>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L1 based UE-to-UE CLI measurement and reporting based on existing CSI framework, including [RAN1, RAN2, RAN4]</w:t>
            </w:r>
          </w:p>
          <w:p w14:paraId="58DD893E">
            <w:pPr>
              <w:numPr>
                <w:ilvl w:val="3"/>
                <w:numId w:val="3"/>
              </w:numPr>
              <w:tabs>
                <w:tab w:val="clear" w:pos="288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Periodic, semi-persistent, or aperiodic measurement resource (set), i.e., SRS-RSRP resource or CLI-RSSI resource, and configuration/determination of ‘typeD’ QCL assumptions for the CLI measurement resource</w:t>
            </w:r>
          </w:p>
          <w:p w14:paraId="37633A79">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At least aperiodic reporting</w:t>
            </w:r>
          </w:p>
          <w:p w14:paraId="56E31B6C">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New report quantities, e.g., L1-SRS-RSRP, L1-CLI-RSSI and/or measurement resource indices</w:t>
            </w:r>
          </w:p>
          <w:p w14:paraId="1020CBD8">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UCI bits generation </w:t>
            </w:r>
          </w:p>
          <w:p w14:paraId="2239AA4B">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Priority rules for multiple CSI reporting</w:t>
            </w:r>
          </w:p>
          <w:p w14:paraId="7D3CB121">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cs="Times New Roman"/>
                <w:sz w:val="20"/>
                <w:szCs w:val="20"/>
                <w:lang w:val="en-US" w:eastAsia="zh-CN"/>
              </w:rPr>
              <w:t>CLI measurement accuracy requirement</w:t>
            </w:r>
          </w:p>
          <w:p w14:paraId="30996B1B">
            <w:pPr>
              <w:numPr>
                <w:ilvl w:val="2"/>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Note: Without dedicated optimization for dynamic/flexible TDD. </w:t>
            </w:r>
          </w:p>
          <w:p w14:paraId="73118925">
            <w:pPr>
              <w:numPr>
                <w:ilvl w:val="0"/>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BS RF requirements for SBFD operation at gNB [RAN4]</w:t>
            </w:r>
          </w:p>
          <w:p w14:paraId="23804707">
            <w:pPr>
              <w:numPr>
                <w:ilvl w:val="0"/>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applicable RRM core requirements for CLI handling mechanisms [RAN4]</w:t>
            </w:r>
          </w:p>
          <w:p w14:paraId="3D4BB971">
            <w:pPr>
              <w:numPr>
                <w:ilvl w:val="0"/>
                <w:numId w:val="3"/>
              </w:numPr>
              <w:overflowPunct/>
              <w:autoSpaceDE/>
              <w:autoSpaceDN/>
              <w:adjustRightInd/>
              <w:spacing w:after="160" w:line="256" w:lineRule="auto"/>
              <w:ind w:right="-99"/>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Malgun Gothic" w:cs="Times New Roman"/>
                <w:sz w:val="20"/>
                <w:szCs w:val="20"/>
                <w:lang w:val="en-US" w:eastAsia="ko-KR"/>
              </w:rPr>
              <w:t>Specify other RRM core requirements for SBFD operation, if identified [RAN4]</w:t>
            </w:r>
          </w:p>
        </w:tc>
      </w:tr>
    </w:tbl>
    <w:p w14:paraId="20A48E20">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There was initial discussion on RRM performance requirements for SBFD, and a WF was approved [2].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this topic</w:t>
      </w:r>
      <w:r>
        <w:rPr>
          <w:rFonts w:hint="eastAsia" w:ascii="Times New Roman" w:hAnsi="Times New Roman"/>
          <w:bCs/>
          <w:iCs/>
          <w:sz w:val="20"/>
          <w:szCs w:val="20"/>
        </w:rPr>
        <w:t>.</w:t>
      </w:r>
    </w:p>
    <w:p w14:paraId="779163C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p w14:paraId="2BF64E1F">
      <w:pPr>
        <w:keepNext w:val="0"/>
        <w:keepLines w:val="0"/>
        <w:pageBreakBefore w:val="0"/>
        <w:widowControl w:val="0"/>
        <w:kinsoku/>
        <w:wordWrap/>
        <w:overflowPunct/>
        <w:topLinePunct w:val="0"/>
        <w:autoSpaceDE/>
        <w:autoSpaceDN/>
        <w:bidi w:val="0"/>
        <w:adjustRightInd/>
        <w:snapToGrid/>
        <w:spacing w:after="180" w:line="240" w:lineRule="auto"/>
        <w:textAlignment w:val="auto"/>
        <w:outlineLvl w:val="1"/>
        <w:rPr>
          <w:rFonts w:hint="default" w:ascii="Times New Roman" w:hAnsi="Times New Roman"/>
          <w:sz w:val="20"/>
          <w:szCs w:val="20"/>
          <w:lang w:val="en-US" w:eastAsia="zh-CN"/>
        </w:rPr>
      </w:pPr>
      <w:r>
        <w:rPr>
          <w:rFonts w:hint="eastAsia" w:ascii="Times New Roman" w:hAnsi="Times New Roman"/>
          <w:sz w:val="20"/>
          <w:szCs w:val="20"/>
          <w:lang w:val="en-US" w:eastAsia="zh-CN"/>
        </w:rPr>
        <w:t>2.1 Measurement accuracy</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CE55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C2E6CC1">
            <w:pPr>
              <w:pStyle w:val="4"/>
              <w:tabs>
                <w:tab w:val="left" w:pos="432"/>
                <w:tab w:val="clear" w:pos="720"/>
              </w:tabs>
              <w:rPr>
                <w:rFonts w:hint="default" w:ascii="Times New Roman" w:hAnsi="Times New Roman" w:cs="Times New Roman"/>
                <w:sz w:val="20"/>
                <w:szCs w:val="20"/>
              </w:rPr>
            </w:pPr>
            <w:r>
              <w:rPr>
                <w:rFonts w:hint="default" w:ascii="Times New Roman" w:hAnsi="Times New Roman" w:cs="Times New Roman"/>
                <w:sz w:val="20"/>
                <w:szCs w:val="20"/>
              </w:rPr>
              <w:t xml:space="preserve">Sub-topic 1-2: L1-SRS-RSRP </w:t>
            </w:r>
          </w:p>
          <w:p w14:paraId="4A086AD6">
            <w:pPr>
              <w:pStyle w:val="5"/>
              <w:tabs>
                <w:tab w:val="left" w:pos="432"/>
                <w:tab w:val="clear" w:pos="864"/>
              </w:tabs>
              <w:rPr>
                <w:rFonts w:hint="default" w:ascii="Times New Roman" w:hAnsi="Times New Roman" w:cs="Times New Roman"/>
                <w:sz w:val="20"/>
                <w:szCs w:val="20"/>
              </w:rPr>
            </w:pPr>
            <w:r>
              <w:rPr>
                <w:rFonts w:hint="default" w:ascii="Times New Roman" w:hAnsi="Times New Roman" w:cs="Times New Roman"/>
                <w:sz w:val="20"/>
                <w:szCs w:val="20"/>
              </w:rPr>
              <w:t>Issue 1-2-1: Side conditions</w:t>
            </w:r>
          </w:p>
          <w:p w14:paraId="64A291B6">
            <w:pPr>
              <w:numPr>
                <w:ilvl w:val="0"/>
                <w:numId w:val="4"/>
              </w:numPr>
              <w:spacing w:after="120"/>
              <w:ind w:left="7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Agreements (from online session)</w:t>
            </w:r>
          </w:p>
          <w:p w14:paraId="6E88131B">
            <w:pPr>
              <w:numPr>
                <w:ilvl w:val="1"/>
                <w:numId w:val="4"/>
              </w:numPr>
              <w:spacing w:after="120"/>
              <w:ind w:left="144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SRS configuration, reuse R16 assumptions on SRS configuration for L1 SRS-RSRP measurements</w:t>
            </w:r>
          </w:p>
          <w:p w14:paraId="3EA95D6C">
            <w:pPr>
              <w:numPr>
                <w:ilvl w:val="0"/>
                <w:numId w:val="4"/>
              </w:numPr>
              <w:spacing w:after="120"/>
              <w:ind w:left="7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Agreements </w:t>
            </w:r>
          </w:p>
          <w:p w14:paraId="10893721">
            <w:pPr>
              <w:numPr>
                <w:ilvl w:val="1"/>
                <w:numId w:val="4"/>
              </w:numPr>
              <w:spacing w:after="120"/>
              <w:ind w:left="1440"/>
              <w:rPr>
                <w:rFonts w:hint="default" w:ascii="Times New Roman" w:hAnsi="Times New Roman" w:cs="Times New Roman"/>
                <w:sz w:val="20"/>
                <w:szCs w:val="20"/>
                <w:lang w:eastAsia="zh-CN"/>
              </w:rPr>
            </w:pPr>
            <w:r>
              <w:rPr>
                <w:rFonts w:hint="default" w:ascii="Times New Roman" w:hAnsi="Times New Roman" w:cs="Times New Roman"/>
                <w:sz w:val="20"/>
                <w:szCs w:val="20"/>
                <w:highlight w:val="cyan"/>
                <w:lang w:eastAsia="zh-CN"/>
              </w:rPr>
              <w:t>Further discuss timing offset side condition for accuracy requirements in the performance part of the WI, including whether to consider intra-cell scenario only or both intra- and inter-cell scenarios for defining the side condition.</w:t>
            </w:r>
            <w:r>
              <w:rPr>
                <w:rFonts w:hint="default" w:ascii="Times New Roman" w:hAnsi="Times New Roman" w:cs="Times New Roman"/>
                <w:sz w:val="20"/>
                <w:szCs w:val="20"/>
                <w:lang w:eastAsia="zh-CN"/>
              </w:rPr>
              <w:t xml:space="preserve"> </w:t>
            </w:r>
          </w:p>
          <w:p w14:paraId="3E3575BE">
            <w:pPr>
              <w:numPr>
                <w:ilvl w:val="1"/>
                <w:numId w:val="4"/>
              </w:numPr>
              <w:spacing w:after="120"/>
              <w:ind w:left="144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SRS Es/Iot, further discuss the following options</w:t>
            </w:r>
          </w:p>
          <w:p w14:paraId="442B8732">
            <w:pPr>
              <w:numPr>
                <w:ilvl w:val="2"/>
                <w:numId w:val="4"/>
              </w:num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 1dB</w:t>
            </w:r>
          </w:p>
          <w:p w14:paraId="5AA9D2A1">
            <w:pPr>
              <w:numPr>
                <w:ilvl w:val="2"/>
                <w:numId w:val="4"/>
              </w:num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2: &gt; 1dB</w:t>
            </w:r>
          </w:p>
          <w:p w14:paraId="12A5E5AB">
            <w:pPr>
              <w:numPr>
                <w:ilvl w:val="1"/>
                <w:numId w:val="4"/>
              </w:numPr>
              <w:spacing w:after="120"/>
              <w:ind w:left="144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SRS BW, further discuss the following options</w:t>
            </w:r>
          </w:p>
          <w:p w14:paraId="528C63E7">
            <w:pPr>
              <w:numPr>
                <w:ilvl w:val="2"/>
                <w:numId w:val="4"/>
              </w:num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 24RB</w:t>
            </w:r>
          </w:p>
          <w:p w14:paraId="0F5E4125">
            <w:pPr>
              <w:numPr>
                <w:ilvl w:val="2"/>
                <w:numId w:val="4"/>
              </w:numPr>
              <w:spacing w:after="12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eastAsia="zh-CN"/>
              </w:rPr>
              <w:t>Option 2: 48RB</w:t>
            </w:r>
          </w:p>
        </w:tc>
      </w:tr>
    </w:tbl>
    <w:p w14:paraId="32EB0BA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67F7907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olor w:val="000000"/>
          <w:sz w:val="20"/>
          <w:szCs w:val="20"/>
          <w:lang w:val="en-US" w:eastAsia="zh-CN"/>
        </w:rPr>
      </w:pPr>
      <w:r>
        <w:rPr>
          <w:rFonts w:hint="eastAsia" w:ascii="Times New Roman" w:hAnsi="Times New Roman"/>
          <w:sz w:val="20"/>
          <w:szCs w:val="20"/>
          <w:lang w:val="en-US" w:eastAsia="zh-CN"/>
        </w:rPr>
        <w:t xml:space="preserve">According to RAN1 reply LS [6], </w:t>
      </w:r>
      <w:r>
        <w:rPr>
          <w:rFonts w:hint="default" w:ascii="Times New Roman" w:hAnsi="Times New Roman" w:eastAsia="微软雅黑" w:cs="Times New Roman"/>
          <w:sz w:val="20"/>
          <w:szCs w:val="20"/>
          <w:lang w:eastAsia="ko-KR"/>
        </w:rPr>
        <w:t>L1 UE-to-UE CLI measurement and reporting specified by RAN1 can be applied for both</w:t>
      </w:r>
      <w:r>
        <w:rPr>
          <w:rFonts w:hint="eastAsia" w:ascii="Times New Roman" w:hAnsi="Times New Roman" w:eastAsia="微软雅黑" w:cs="Times New Roman"/>
          <w:sz w:val="20"/>
          <w:szCs w:val="20"/>
          <w:lang w:val="en-US" w:eastAsia="zh-CN"/>
        </w:rPr>
        <w:t xml:space="preserve"> intra-cell scenario and i</w:t>
      </w:r>
      <w:r>
        <w:rPr>
          <w:rFonts w:ascii="Times New Roman" w:hAnsi="Times New Roman" w:eastAsia="Times New Roman"/>
          <w:color w:val="000000"/>
          <w:sz w:val="20"/>
          <w:szCs w:val="20"/>
          <w:lang w:eastAsia="en-GB"/>
        </w:rPr>
        <w:t xml:space="preserve">nter-cell </w:t>
      </w:r>
      <w:r>
        <w:rPr>
          <w:rFonts w:hint="eastAsia" w:ascii="Times New Roman" w:hAnsi="Times New Roman"/>
          <w:color w:val="000000"/>
          <w:sz w:val="20"/>
          <w:szCs w:val="20"/>
          <w:lang w:val="en-US" w:eastAsia="zh-CN"/>
        </w:rPr>
        <w:t xml:space="preserve">scenario. We notice that RAN1 reply LS also mentioned that from </w:t>
      </w:r>
      <w:r>
        <w:rPr>
          <w:rFonts w:hint="default" w:ascii="Times New Roman" w:hAnsi="Times New Roman" w:eastAsia="微软雅黑" w:cs="Times New Roman"/>
          <w:sz w:val="20"/>
          <w:szCs w:val="20"/>
        </w:rPr>
        <w:t>RAN1 perspective, intra-cell UE-to-UE L1 CLI measurement scenario can be prioritized for the requirements of L1 SRS-RSRP measurement</w:t>
      </w:r>
      <w:r>
        <w:rPr>
          <w:rFonts w:hint="eastAsia" w:ascii="Times New Roman" w:hAnsi="Times New Roman" w:eastAsia="微软雅黑" w:cs="Times New Roman"/>
          <w:sz w:val="20"/>
          <w:szCs w:val="20"/>
          <w:lang w:val="en-US" w:eastAsia="zh-CN"/>
        </w:rPr>
        <w:t>, considering no specification impact for SRS configuration information exchange between gNBs. However, similar situation exsits for Rel-16 L3 CLI</w:t>
      </w:r>
      <w:r>
        <w:rPr>
          <w:rFonts w:hint="eastAsia" w:ascii="Times New Roman" w:hAnsi="Times New Roman"/>
          <w:color w:val="000000"/>
          <w:sz w:val="20"/>
          <w:szCs w:val="20"/>
          <w:lang w:val="en-US" w:eastAsia="zh-CN"/>
        </w:rPr>
        <w:t xml:space="preserve"> measurement that even though how </w:t>
      </w:r>
      <w:r>
        <w:rPr>
          <w:rFonts w:hint="eastAsia" w:ascii="Times New Roman" w:hAnsi="Times New Roman" w:eastAsia="微软雅黑" w:cs="Times New Roman"/>
          <w:sz w:val="20"/>
          <w:szCs w:val="20"/>
          <w:lang w:val="en-US" w:eastAsia="zh-CN"/>
        </w:rPr>
        <w:t>SRS configuration information are exchanged between gNBs</w:t>
      </w:r>
      <w:r>
        <w:rPr>
          <w:rFonts w:hint="eastAsia" w:ascii="Times New Roman" w:hAnsi="Times New Roman"/>
          <w:color w:val="000000"/>
          <w:sz w:val="20"/>
          <w:szCs w:val="20"/>
          <w:lang w:val="en-US" w:eastAsia="zh-CN"/>
        </w:rPr>
        <w:t xml:space="preserve"> are not specified in Rel-16, but RAN4 requirements for Rel-16 CLI measurement are specified to cover inter-cell scenario with the assumption that </w:t>
      </w:r>
      <w:r>
        <w:rPr>
          <w:rFonts w:hint="eastAsia" w:ascii="Times New Roman" w:hAnsi="Times New Roman" w:eastAsia="微软雅黑" w:cs="Times New Roman"/>
          <w:sz w:val="20"/>
          <w:szCs w:val="20"/>
          <w:lang w:val="en-US" w:eastAsia="zh-CN"/>
        </w:rPr>
        <w:t>SRS configuration information exchange between gNBs is left to network implementation. Similar approach can be used for RAN4 requirements definition for Rel-19 L1 CLI measurement. What</w:t>
      </w:r>
      <w:r>
        <w:rPr>
          <w:rFonts w:hint="default" w:ascii="Times New Roman" w:hAnsi="Times New Roman" w:eastAsia="微软雅黑" w:cs="Times New Roman"/>
          <w:sz w:val="20"/>
          <w:szCs w:val="20"/>
          <w:lang w:val="en-US" w:eastAsia="zh-CN"/>
        </w:rPr>
        <w:t>’</w:t>
      </w:r>
      <w:r>
        <w:rPr>
          <w:rFonts w:hint="eastAsia" w:ascii="Times New Roman" w:hAnsi="Times New Roman" w:eastAsia="微软雅黑" w:cs="Times New Roman"/>
          <w:sz w:val="20"/>
          <w:szCs w:val="20"/>
          <w:lang w:val="en-US" w:eastAsia="zh-CN"/>
        </w:rPr>
        <w:t xml:space="preserve">s more, from deployment point of view, </w:t>
      </w:r>
      <w:r>
        <w:rPr>
          <w:rFonts w:hint="eastAsia" w:ascii="Times New Roman" w:hAnsi="Times New Roman"/>
          <w:sz w:val="20"/>
          <w:szCs w:val="20"/>
          <w:lang w:val="en-US" w:eastAsia="zh-CN"/>
        </w:rPr>
        <w:t xml:space="preserve">only consider intra-cell is too limited. </w:t>
      </w:r>
      <w:r>
        <w:rPr>
          <w:rFonts w:hint="eastAsia" w:ascii="Times New Roman" w:hAnsi="Times New Roman" w:eastAsia="微软雅黑" w:cs="Times New Roman"/>
          <w:sz w:val="20"/>
          <w:szCs w:val="20"/>
          <w:lang w:val="en-US" w:eastAsia="zh-CN"/>
        </w:rPr>
        <w:t>Based on above consideration, it is proposed to define RAN4 requirements for L1 CLI for both intra-cell scenario and i</w:t>
      </w:r>
      <w:r>
        <w:rPr>
          <w:rFonts w:ascii="Times New Roman" w:hAnsi="Times New Roman" w:eastAsia="Times New Roman"/>
          <w:color w:val="000000"/>
          <w:sz w:val="20"/>
          <w:szCs w:val="20"/>
          <w:lang w:eastAsia="en-GB"/>
        </w:rPr>
        <w:t xml:space="preserve">nter-cell </w:t>
      </w:r>
      <w:r>
        <w:rPr>
          <w:rFonts w:hint="eastAsia" w:ascii="Times New Roman" w:hAnsi="Times New Roman"/>
          <w:color w:val="000000"/>
          <w:sz w:val="20"/>
          <w:szCs w:val="20"/>
          <w:lang w:val="en-US" w:eastAsia="zh-CN"/>
        </w:rPr>
        <w:t>scenario.</w:t>
      </w:r>
    </w:p>
    <w:p w14:paraId="784BA4C6">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eastAsia="微软雅黑" w:cs="Times New Roman"/>
          <w:sz w:val="20"/>
          <w:szCs w:val="20"/>
          <w:lang w:val="en-US" w:eastAsia="zh-CN"/>
        </w:rPr>
      </w:pPr>
      <w:r>
        <w:rPr>
          <w:rFonts w:hint="eastAsia" w:ascii="Times New Roman" w:hAnsi="Times New Roman" w:eastAsia="微软雅黑" w:cs="Times New Roman"/>
          <w:sz w:val="20"/>
          <w:szCs w:val="20"/>
          <w:lang w:val="en-US" w:eastAsia="zh-CN"/>
        </w:rPr>
        <w:t xml:space="preserve">Case 1, the residual timing error is 4.67us for FR1 and 3.67us for FR2, same as the Rel-16. </w:t>
      </w:r>
    </w:p>
    <w:p w14:paraId="0F412BDF">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color w:val="000000"/>
          <w:sz w:val="20"/>
          <w:szCs w:val="20"/>
          <w:lang w:val="en-US" w:eastAsia="zh-CN"/>
        </w:rPr>
      </w:pPr>
      <w:r>
        <w:rPr>
          <w:rFonts w:hint="eastAsia" w:ascii="Times New Roman" w:hAnsi="Times New Roman" w:eastAsia="微软雅黑" w:cs="Times New Roman"/>
          <w:sz w:val="20"/>
          <w:szCs w:val="20"/>
          <w:lang w:val="en-US" w:eastAsia="zh-CN"/>
        </w:rPr>
        <w:t>Case 2, remove the cell phase error, in detail, the residual timing error is 1.67us for FR1 and 0.67us for FR2.</w:t>
      </w:r>
    </w:p>
    <w:p w14:paraId="7905689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One argument of the proponents which support only consider intra-cell scenario is that it is expected that the measurement accuracy will be improved without considering the residual timing error. In our view, it depends on the SRS SCS.</w:t>
      </w:r>
    </w:p>
    <w:p w14:paraId="332A19B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Table 1 is the simulation results summary based on companies</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 feedback.</w:t>
      </w:r>
    </w:p>
    <w:p w14:paraId="7705F188">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eastAsia" w:ascii="Times New Roman" w:hAnsi="Times New Roman" w:eastAsia="微软雅黑" w:cs="Times New Roman"/>
          <w:sz w:val="20"/>
          <w:szCs w:val="20"/>
          <w:lang w:val="en-US" w:eastAsia="zh-CN"/>
        </w:rPr>
      </w:pPr>
      <w:r>
        <w:rPr>
          <w:rFonts w:hint="eastAsia" w:ascii="Times New Roman" w:hAnsi="Times New Roman" w:eastAsia="微软雅黑" w:cs="Times New Roman"/>
          <w:sz w:val="20"/>
          <w:szCs w:val="20"/>
          <w:lang w:val="en-US" w:eastAsia="zh-CN"/>
        </w:rPr>
        <w:t>Table 1 performance comparison between case 1 and case 2 based on companies</w:t>
      </w:r>
      <w:r>
        <w:rPr>
          <w:rFonts w:hint="default" w:ascii="Times New Roman" w:hAnsi="Times New Roman" w:eastAsia="微软雅黑" w:cs="Times New Roman"/>
          <w:sz w:val="20"/>
          <w:szCs w:val="20"/>
          <w:lang w:val="en-US" w:eastAsia="zh-CN"/>
        </w:rPr>
        <w:t>’</w:t>
      </w:r>
      <w:r>
        <w:rPr>
          <w:rFonts w:hint="eastAsia" w:ascii="Times New Roman" w:hAnsi="Times New Roman" w:eastAsia="微软雅黑" w:cs="Times New Roman"/>
          <w:sz w:val="20"/>
          <w:szCs w:val="20"/>
          <w:lang w:val="en-US" w:eastAsia="zh-CN"/>
        </w:rPr>
        <w:t xml:space="preserve"> simulation results,</w:t>
      </w:r>
    </w:p>
    <w:p w14:paraId="652BEB80">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default" w:ascii="Times New Roman" w:hAnsi="Times New Roman" w:eastAsia="微软雅黑" w:cs="Times New Roman"/>
          <w:sz w:val="20"/>
          <w:szCs w:val="20"/>
          <w:lang w:val="en-US" w:eastAsia="zh-CN"/>
        </w:rPr>
      </w:pPr>
      <w:r>
        <w:rPr>
          <w:rFonts w:hint="eastAsia" w:ascii="Times New Roman" w:hAnsi="Times New Roman" w:eastAsia="微软雅黑" w:cs="Times New Roman"/>
          <w:sz w:val="20"/>
          <w:szCs w:val="20"/>
          <w:lang w:val="en-US" w:eastAsia="zh-CN"/>
        </w:rPr>
        <w:t>(SNR=1dB, SRS symbol number = 1)</w:t>
      </w:r>
    </w:p>
    <w:tbl>
      <w:tblPr>
        <w:tblStyle w:val="9"/>
        <w:tblW w:w="855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97"/>
        <w:gridCol w:w="450"/>
        <w:gridCol w:w="511"/>
        <w:gridCol w:w="678"/>
        <w:gridCol w:w="425"/>
        <w:gridCol w:w="425"/>
        <w:gridCol w:w="425"/>
        <w:gridCol w:w="425"/>
        <w:gridCol w:w="425"/>
        <w:gridCol w:w="425"/>
        <w:gridCol w:w="425"/>
        <w:gridCol w:w="425"/>
        <w:gridCol w:w="366"/>
        <w:gridCol w:w="416"/>
        <w:gridCol w:w="366"/>
        <w:gridCol w:w="416"/>
        <w:gridCol w:w="425"/>
        <w:gridCol w:w="416"/>
        <w:gridCol w:w="425"/>
        <w:gridCol w:w="416"/>
      </w:tblGrid>
      <w:tr w14:paraId="79CC8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jc w:val="center"/>
        </w:trPr>
        <w:tc>
          <w:tcPr>
            <w:tcW w:w="49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1508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FR</w:t>
            </w: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DA4F2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SCS</w:t>
            </w:r>
            <w:r>
              <w:rPr>
                <w:rFonts w:hint="default" w:ascii="Times New Roman" w:hAnsi="Times New Roman" w:eastAsia="宋体" w:cs="Times New Roman"/>
                <w:i w:val="0"/>
                <w:iCs w:val="0"/>
                <w:color w:val="000000"/>
                <w:kern w:val="0"/>
                <w:sz w:val="10"/>
                <w:szCs w:val="10"/>
                <w:u w:val="none"/>
                <w:lang w:val="en-US" w:eastAsia="zh-CN" w:bidi="ar"/>
              </w:rPr>
              <w:br w:type="textWrapping"/>
            </w:r>
            <w:r>
              <w:rPr>
                <w:rFonts w:hint="default" w:ascii="Times New Roman" w:hAnsi="Times New Roman" w:eastAsia="宋体" w:cs="Times New Roman"/>
                <w:i w:val="0"/>
                <w:iCs w:val="0"/>
                <w:color w:val="000000"/>
                <w:kern w:val="0"/>
                <w:sz w:val="10"/>
                <w:szCs w:val="10"/>
                <w:u w:val="none"/>
                <w:lang w:val="en-US" w:eastAsia="zh-CN" w:bidi="ar"/>
              </w:rPr>
              <w:t>(kHz)</w:t>
            </w: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6AADF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 xml:space="preserve">SRS </w:t>
            </w:r>
            <w:r>
              <w:rPr>
                <w:rFonts w:hint="default" w:ascii="Times New Roman" w:hAnsi="Times New Roman" w:eastAsia="宋体" w:cs="Times New Roman"/>
                <w:i w:val="0"/>
                <w:iCs w:val="0"/>
                <w:color w:val="000000"/>
                <w:kern w:val="0"/>
                <w:sz w:val="10"/>
                <w:szCs w:val="10"/>
                <w:u w:val="none"/>
                <w:lang w:val="en-US" w:eastAsia="zh-CN" w:bidi="ar"/>
              </w:rPr>
              <w:br w:type="textWrapping"/>
            </w:r>
            <w:r>
              <w:rPr>
                <w:rFonts w:hint="default" w:ascii="Times New Roman" w:hAnsi="Times New Roman" w:eastAsia="宋体" w:cs="Times New Roman"/>
                <w:i w:val="0"/>
                <w:iCs w:val="0"/>
                <w:color w:val="000000"/>
                <w:kern w:val="0"/>
                <w:sz w:val="10"/>
                <w:szCs w:val="10"/>
                <w:u w:val="none"/>
                <w:lang w:val="en-US" w:eastAsia="zh-CN" w:bidi="ar"/>
              </w:rPr>
              <w:t>BW</w:t>
            </w:r>
            <w:r>
              <w:rPr>
                <w:rFonts w:hint="default" w:ascii="Times New Roman" w:hAnsi="Times New Roman" w:eastAsia="宋体" w:cs="Times New Roman"/>
                <w:i w:val="0"/>
                <w:iCs w:val="0"/>
                <w:color w:val="000000"/>
                <w:kern w:val="0"/>
                <w:sz w:val="10"/>
                <w:szCs w:val="10"/>
                <w:u w:val="none"/>
                <w:lang w:val="en-US" w:eastAsia="zh-CN" w:bidi="ar"/>
              </w:rPr>
              <w:br w:type="textWrapping"/>
            </w:r>
            <w:r>
              <w:rPr>
                <w:rFonts w:hint="default" w:ascii="Times New Roman" w:hAnsi="Times New Roman" w:eastAsia="宋体" w:cs="Times New Roman"/>
                <w:i w:val="0"/>
                <w:iCs w:val="0"/>
                <w:color w:val="000000"/>
                <w:kern w:val="0"/>
                <w:sz w:val="10"/>
                <w:szCs w:val="10"/>
                <w:u w:val="none"/>
                <w:lang w:val="en-US" w:eastAsia="zh-CN" w:bidi="ar"/>
              </w:rPr>
              <w:t>(PRBs)</w:t>
            </w:r>
          </w:p>
        </w:tc>
        <w:tc>
          <w:tcPr>
            <w:tcW w:w="67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1106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Sample</w:t>
            </w:r>
          </w:p>
        </w:tc>
        <w:tc>
          <w:tcPr>
            <w:tcW w:w="162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83C2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lang w:val="en-US"/>
              </w:rPr>
            </w:pPr>
            <w:r>
              <w:rPr>
                <w:rFonts w:hint="default" w:ascii="Times New Roman" w:hAnsi="Times New Roman" w:eastAsia="宋体" w:cs="Times New Roman"/>
                <w:i w:val="0"/>
                <w:iCs w:val="0"/>
                <w:color w:val="000000"/>
                <w:kern w:val="0"/>
                <w:sz w:val="10"/>
                <w:szCs w:val="10"/>
                <w:u w:val="none"/>
                <w:lang w:val="en-US" w:eastAsia="zh-CN" w:bidi="ar"/>
              </w:rPr>
              <w:t>CATT</w:t>
            </w:r>
            <w:r>
              <w:rPr>
                <w:rFonts w:hint="eastAsia" w:ascii="Times New Roman" w:hAnsi="Times New Roman" w:cs="Times New Roman"/>
                <w:i w:val="0"/>
                <w:iCs w:val="0"/>
                <w:color w:val="000000"/>
                <w:kern w:val="0"/>
                <w:sz w:val="10"/>
                <w:szCs w:val="10"/>
                <w:u w:val="none"/>
                <w:lang w:val="en-US" w:eastAsia="zh-CN" w:bidi="ar"/>
              </w:rPr>
              <w:t xml:space="preserve"> (R4-2417696)</w:t>
            </w:r>
          </w:p>
        </w:tc>
        <w:tc>
          <w:tcPr>
            <w:tcW w:w="162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F623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lang w:val="en-US"/>
              </w:rPr>
            </w:pPr>
            <w:r>
              <w:rPr>
                <w:rFonts w:hint="default" w:ascii="Times New Roman" w:hAnsi="Times New Roman" w:eastAsia="宋体" w:cs="Times New Roman"/>
                <w:i w:val="0"/>
                <w:iCs w:val="0"/>
                <w:color w:val="000000"/>
                <w:kern w:val="0"/>
                <w:sz w:val="10"/>
                <w:szCs w:val="10"/>
                <w:u w:val="none"/>
                <w:lang w:val="en-US" w:eastAsia="zh-CN" w:bidi="ar"/>
              </w:rPr>
              <w:t>HW</w:t>
            </w:r>
            <w:r>
              <w:rPr>
                <w:rFonts w:hint="eastAsia" w:ascii="Times New Roman" w:hAnsi="Times New Roman" w:cs="Times New Roman"/>
                <w:i w:val="0"/>
                <w:iCs w:val="0"/>
                <w:color w:val="000000"/>
                <w:kern w:val="0"/>
                <w:sz w:val="10"/>
                <w:szCs w:val="10"/>
                <w:u w:val="none"/>
                <w:lang w:val="en-US" w:eastAsia="zh-CN" w:bidi="ar"/>
              </w:rPr>
              <w:t xml:space="preserve"> (R4-2419148)</w:t>
            </w:r>
          </w:p>
        </w:tc>
        <w:tc>
          <w:tcPr>
            <w:tcW w:w="151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FA31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lang w:val="en-US"/>
              </w:rPr>
            </w:pPr>
            <w:r>
              <w:rPr>
                <w:rFonts w:hint="default" w:ascii="Times New Roman" w:hAnsi="Times New Roman" w:eastAsia="宋体" w:cs="Times New Roman"/>
                <w:i w:val="0"/>
                <w:iCs w:val="0"/>
                <w:color w:val="000000"/>
                <w:kern w:val="0"/>
                <w:sz w:val="10"/>
                <w:szCs w:val="10"/>
                <w:u w:val="none"/>
                <w:lang w:val="en-US" w:eastAsia="zh-CN" w:bidi="ar"/>
              </w:rPr>
              <w:t>Samsung</w:t>
            </w:r>
            <w:r>
              <w:rPr>
                <w:rFonts w:hint="eastAsia" w:ascii="Times New Roman" w:hAnsi="Times New Roman" w:cs="Times New Roman"/>
                <w:i w:val="0"/>
                <w:iCs w:val="0"/>
                <w:color w:val="000000"/>
                <w:kern w:val="0"/>
                <w:sz w:val="10"/>
                <w:szCs w:val="10"/>
                <w:u w:val="none"/>
                <w:lang w:val="en-US" w:eastAsia="zh-CN" w:bidi="ar"/>
              </w:rPr>
              <w:t xml:space="preserve"> (R4-2419620)</w:t>
            </w:r>
          </w:p>
        </w:tc>
        <w:tc>
          <w:tcPr>
            <w:tcW w:w="163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9ED0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lang w:val="en-US"/>
              </w:rPr>
            </w:pPr>
            <w:r>
              <w:rPr>
                <w:rFonts w:hint="default" w:ascii="Times New Roman" w:hAnsi="Times New Roman" w:eastAsia="宋体" w:cs="Times New Roman"/>
                <w:i w:val="0"/>
                <w:iCs w:val="0"/>
                <w:color w:val="000000"/>
                <w:kern w:val="0"/>
                <w:sz w:val="10"/>
                <w:szCs w:val="10"/>
                <w:u w:val="none"/>
                <w:lang w:val="en-US" w:eastAsia="zh-CN" w:bidi="ar"/>
              </w:rPr>
              <w:t>Ericsson</w:t>
            </w:r>
            <w:r>
              <w:rPr>
                <w:rFonts w:hint="eastAsia" w:ascii="Times New Roman" w:hAnsi="Times New Roman" w:cs="Times New Roman"/>
                <w:i w:val="0"/>
                <w:iCs w:val="0"/>
                <w:color w:val="000000"/>
                <w:kern w:val="0"/>
                <w:sz w:val="10"/>
                <w:szCs w:val="10"/>
                <w:u w:val="none"/>
                <w:lang w:val="en-US" w:eastAsia="zh-CN" w:bidi="ar"/>
              </w:rPr>
              <w:t xml:space="preserve"> (R4-2419442)</w:t>
            </w:r>
          </w:p>
        </w:tc>
      </w:tr>
      <w:tr w14:paraId="7D448A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60F77">
            <w:pPr>
              <w:jc w:val="center"/>
              <w:rPr>
                <w:rFonts w:hint="default" w:ascii="Times New Roman" w:hAnsi="Times New Roman" w:eastAsia="宋体" w:cs="Times New Roman"/>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ED66D0">
            <w:pPr>
              <w:jc w:val="center"/>
              <w:rPr>
                <w:rFonts w:hint="default" w:ascii="Times New Roman" w:hAnsi="Times New Roman" w:eastAsia="宋体" w:cs="Times New Roman"/>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393699">
            <w:pPr>
              <w:jc w:val="center"/>
              <w:rPr>
                <w:rFonts w:hint="default" w:ascii="Times New Roman" w:hAnsi="Times New Roman" w:eastAsia="宋体" w:cs="Times New Roman"/>
                <w:i w:val="0"/>
                <w:iCs w:val="0"/>
                <w:color w:val="000000"/>
                <w:sz w:val="10"/>
                <w:szCs w:val="10"/>
                <w:u w:val="none"/>
              </w:rPr>
            </w:pPr>
          </w:p>
        </w:tc>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F5D45">
            <w:pPr>
              <w:jc w:val="center"/>
              <w:rPr>
                <w:rFonts w:hint="default" w:ascii="Times New Roman" w:hAnsi="Times New Roman" w:eastAsia="宋体" w:cs="Times New Roman"/>
                <w:i w:val="0"/>
                <w:iCs w:val="0"/>
                <w:color w:val="000000"/>
                <w:sz w:val="10"/>
                <w:szCs w:val="10"/>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E080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1</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84BB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2</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654F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1</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EB8D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2</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2935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1</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1E3F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2</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B5FE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1</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DB21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2</w:t>
            </w:r>
          </w:p>
        </w:tc>
      </w:tr>
      <w:tr w14:paraId="622D6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DFD4D">
            <w:pPr>
              <w:jc w:val="center"/>
              <w:rPr>
                <w:rFonts w:hint="default" w:ascii="Times New Roman" w:hAnsi="Times New Roman" w:eastAsia="宋体" w:cs="Times New Roman"/>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6ED96A">
            <w:pPr>
              <w:jc w:val="center"/>
              <w:rPr>
                <w:rFonts w:hint="default" w:ascii="Times New Roman" w:hAnsi="Times New Roman" w:eastAsia="宋体" w:cs="Times New Roman"/>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722744">
            <w:pPr>
              <w:jc w:val="center"/>
              <w:rPr>
                <w:rFonts w:hint="default" w:ascii="Times New Roman" w:hAnsi="Times New Roman" w:eastAsia="宋体" w:cs="Times New Roman"/>
                <w:i w:val="0"/>
                <w:iCs w:val="0"/>
                <w:color w:val="000000"/>
                <w:sz w:val="10"/>
                <w:szCs w:val="10"/>
                <w:u w:val="none"/>
              </w:rPr>
            </w:pPr>
          </w:p>
        </w:tc>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E74D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AB9A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C8C0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EBCE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957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02A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B9C7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8502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E80E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9181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1DFC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733D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DE58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8482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CB20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BF3E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7993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r>
      <w:tr w14:paraId="37C17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51F09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FR1</w:t>
            </w: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941B6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15</w:t>
            </w: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48A74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24</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CE52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86CF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-0.98</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9A17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004B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-0.61</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842FD">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0133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83B7D">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2A3F0">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9DB15">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00434">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B3FD0">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8DCA6">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EBD0B">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71402">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B959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32212">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57C72">
            <w:pPr>
              <w:jc w:val="center"/>
              <w:rPr>
                <w:rFonts w:hint="default" w:ascii="Times New Roman" w:hAnsi="Times New Roman" w:eastAsia="宋体" w:cs="Times New Roman"/>
                <w:i w:val="0"/>
                <w:iCs w:val="0"/>
                <w:color w:val="000000"/>
                <w:sz w:val="10"/>
                <w:szCs w:val="10"/>
                <w:u w:val="none"/>
              </w:rPr>
            </w:pPr>
          </w:p>
        </w:tc>
      </w:tr>
      <w:tr w14:paraId="18EC19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D397C7">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308B63">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0BAD13">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2D6F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5FCE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ABBD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D46D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-0.41</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614A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0.54</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120C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BD5E5">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38470">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01B9D">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3BCB6">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05776">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FAC79">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5B340">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D078E">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68CDF">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A23EA">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D8388">
            <w:pPr>
              <w:jc w:val="center"/>
              <w:rPr>
                <w:rFonts w:hint="default" w:ascii="Times New Roman" w:hAnsi="Times New Roman" w:eastAsia="宋体" w:cs="Times New Roman"/>
                <w:i w:val="0"/>
                <w:iCs w:val="0"/>
                <w:color w:val="000000"/>
                <w:sz w:val="10"/>
                <w:szCs w:val="10"/>
                <w:u w:val="none"/>
              </w:rPr>
            </w:pPr>
          </w:p>
        </w:tc>
      </w:tr>
      <w:tr w14:paraId="629E8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B62C2E">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C22E02">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B5ED5E">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6E74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48AC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F5D2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E72A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EF07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0.48</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F908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90AC5">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19C6A">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FE780">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22B5C">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97B99">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1AEFD">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3179B">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B3D51">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8460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A4FF6">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AED82">
            <w:pPr>
              <w:jc w:val="center"/>
              <w:rPr>
                <w:rFonts w:hint="default" w:ascii="Times New Roman" w:hAnsi="Times New Roman" w:eastAsia="宋体" w:cs="Times New Roman"/>
                <w:i w:val="0"/>
                <w:iCs w:val="0"/>
                <w:color w:val="000000"/>
                <w:sz w:val="10"/>
                <w:szCs w:val="10"/>
                <w:u w:val="none"/>
              </w:rPr>
            </w:pPr>
          </w:p>
        </w:tc>
      </w:tr>
      <w:tr w14:paraId="26C956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CEC885">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AC406C">
            <w:pPr>
              <w:jc w:val="center"/>
              <w:rPr>
                <w:rFonts w:hint="default" w:ascii="Times New Roman" w:hAnsi="Times New Roman" w:eastAsia="宋体" w:cs="Times New Roman"/>
                <w:b/>
                <w:bCs/>
                <w:i w:val="0"/>
                <w:iCs w:val="0"/>
                <w:color w:val="000000"/>
                <w:sz w:val="10"/>
                <w:szCs w:val="10"/>
                <w:u w:val="none"/>
              </w:rPr>
            </w:pP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EBF1DE"/>
            <w:vAlign w:val="center"/>
          </w:tcPr>
          <w:p w14:paraId="2AAD2FB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48</w:t>
            </w: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85D0E6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4BDEB8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4C3FA4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7E64D9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84DCF9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BA42D8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A5F878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57C6ED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-0.54</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602AA1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0.42</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D264E9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50B452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A1ED21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64D4997">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0B48FE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-0.14</w:t>
            </w: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31EECD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0.74</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ADC87BD">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0.03</w:t>
            </w: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5B5276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0.76</w:t>
            </w:r>
          </w:p>
        </w:tc>
      </w:tr>
      <w:tr w14:paraId="75B2E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3A1CFE">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3015D4">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68A8CEF4">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238B58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7BF0C1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96FC54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3A08E3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-0.36</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2BF2E4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36CE8A0">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14E220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5593DF9">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4F6ED07">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1A9F3D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1.1</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F0C1BF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1.1</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E3C724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FF079D4">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02935BA">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BF0063B">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6DC4C08">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4BD9711">
            <w:pPr>
              <w:jc w:val="center"/>
              <w:rPr>
                <w:rFonts w:hint="default" w:ascii="Times New Roman" w:hAnsi="Times New Roman" w:eastAsia="宋体" w:cs="Times New Roman"/>
                <w:i w:val="0"/>
                <w:iCs w:val="0"/>
                <w:color w:val="000000"/>
                <w:sz w:val="10"/>
                <w:szCs w:val="10"/>
                <w:u w:val="none"/>
              </w:rPr>
            </w:pPr>
          </w:p>
        </w:tc>
      </w:tr>
      <w:tr w14:paraId="2CD0B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9BBD50">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79F38C">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56567A92">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27A167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3D830D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C7E5B8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6C5836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-0.29</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4EE629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B41D4F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-0.84</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4C7126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E2DE01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-0.39</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55DA0E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0.15</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4977C7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698967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676FDA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70791BC">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7AB361C">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A24E2DF">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273FB5E">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D5E6F84">
            <w:pPr>
              <w:jc w:val="center"/>
              <w:rPr>
                <w:rFonts w:hint="default" w:ascii="Times New Roman" w:hAnsi="Times New Roman" w:eastAsia="宋体" w:cs="Times New Roman"/>
                <w:i w:val="0"/>
                <w:iCs w:val="0"/>
                <w:color w:val="000000"/>
                <w:sz w:val="10"/>
                <w:szCs w:val="10"/>
                <w:u w:val="none"/>
              </w:rPr>
            </w:pPr>
          </w:p>
        </w:tc>
      </w:tr>
      <w:tr w14:paraId="5D574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BE2C3D">
            <w:pPr>
              <w:jc w:val="center"/>
              <w:rPr>
                <w:rFonts w:hint="default" w:ascii="Times New Roman" w:hAnsi="Times New Roman" w:eastAsia="宋体" w:cs="Times New Roman"/>
                <w:b/>
                <w:bCs/>
                <w:i w:val="0"/>
                <w:iCs w:val="0"/>
                <w:color w:val="000000"/>
                <w:sz w:val="10"/>
                <w:szCs w:val="10"/>
                <w:u w:val="none"/>
              </w:rPr>
            </w:pP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7263F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30</w:t>
            </w: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58E9D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24</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56BD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98BD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-1.58</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A6B6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8453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-0.81</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0F17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B9907">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CE8A0">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70AF9">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879B3">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34E0A">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A49ED">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77032">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E7F5F">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E5D94">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512BA">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A1047">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C33E6">
            <w:pPr>
              <w:jc w:val="center"/>
              <w:rPr>
                <w:rFonts w:hint="default" w:ascii="Times New Roman" w:hAnsi="Times New Roman" w:eastAsia="宋体" w:cs="Times New Roman"/>
                <w:i w:val="0"/>
                <w:iCs w:val="0"/>
                <w:color w:val="000000"/>
                <w:sz w:val="10"/>
                <w:szCs w:val="10"/>
                <w:u w:val="none"/>
              </w:rPr>
            </w:pPr>
          </w:p>
        </w:tc>
      </w:tr>
      <w:tr w14:paraId="30C54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9DE30C">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2650D3">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90E091">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7A03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CF88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-1.38</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CA2C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-0.26</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B60C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-0.61</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0290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0.34</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0FF28">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9EAC0">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89F31">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5316D">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0EC32">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ED643">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8CF31">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2BFE4">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C5D0E">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7680E">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D72C1">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72F79">
            <w:pPr>
              <w:jc w:val="center"/>
              <w:rPr>
                <w:rFonts w:hint="default" w:ascii="Times New Roman" w:hAnsi="Times New Roman" w:eastAsia="宋体" w:cs="Times New Roman"/>
                <w:i w:val="0"/>
                <w:iCs w:val="0"/>
                <w:color w:val="000000"/>
                <w:sz w:val="10"/>
                <w:szCs w:val="10"/>
                <w:u w:val="none"/>
              </w:rPr>
            </w:pPr>
          </w:p>
        </w:tc>
      </w:tr>
      <w:tr w14:paraId="61169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1E5B5B">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559872">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39916E">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0B01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3761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8E16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42B9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35E1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C2075">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5EE49">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C0C03">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D0A67">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50C35">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9F1B2">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B8BCD">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DF156">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C4642">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B1DB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EB3FA">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441D1">
            <w:pPr>
              <w:jc w:val="center"/>
              <w:rPr>
                <w:rFonts w:hint="default" w:ascii="Times New Roman" w:hAnsi="Times New Roman" w:eastAsia="宋体" w:cs="Times New Roman"/>
                <w:i w:val="0"/>
                <w:iCs w:val="0"/>
                <w:color w:val="000000"/>
                <w:sz w:val="10"/>
                <w:szCs w:val="10"/>
                <w:u w:val="none"/>
              </w:rPr>
            </w:pPr>
          </w:p>
        </w:tc>
      </w:tr>
      <w:tr w14:paraId="14A12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4F5A6A">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0D586D">
            <w:pPr>
              <w:jc w:val="center"/>
              <w:rPr>
                <w:rFonts w:hint="default" w:ascii="Times New Roman" w:hAnsi="Times New Roman" w:eastAsia="宋体" w:cs="Times New Roman"/>
                <w:b/>
                <w:bCs/>
                <w:i w:val="0"/>
                <w:iCs w:val="0"/>
                <w:color w:val="000000"/>
                <w:sz w:val="10"/>
                <w:szCs w:val="10"/>
                <w:u w:val="none"/>
              </w:rPr>
            </w:pP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EBF1DE"/>
            <w:vAlign w:val="center"/>
          </w:tcPr>
          <w:p w14:paraId="0A6BA4F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48</w:t>
            </w: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38ECBC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9E4894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-1.46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AF59FE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-0.35</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2949C2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-0.67</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EADF78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BE8923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-1.66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0FBC8E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04F6FD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-0.78</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0A375C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0.19</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6AF01B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2.1</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4B4CAA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2.1</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A892D1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4379339">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3005D2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-0.49</w:t>
            </w: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A87F23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706669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-0.06</w:t>
            </w: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D9EF5D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0.74</w:t>
            </w:r>
          </w:p>
        </w:tc>
      </w:tr>
      <w:tr w14:paraId="37C05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099B53">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5A9109">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3DBDAE97">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A671D6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F2E5D5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-1.29</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25A8B0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9DF8AB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-0.54</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3B7D0F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51FFAF4">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BEC9E1E">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D51E3E0">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39E3F4A">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1F6704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1.9</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2A40EC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1.9</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CA94C5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001788D">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34D8139">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ECCFE67">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1740600">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8FC59F9">
            <w:pPr>
              <w:jc w:val="center"/>
              <w:rPr>
                <w:rFonts w:hint="default" w:ascii="Times New Roman" w:hAnsi="Times New Roman" w:eastAsia="宋体" w:cs="Times New Roman"/>
                <w:i w:val="0"/>
                <w:iCs w:val="0"/>
                <w:color w:val="000000"/>
                <w:sz w:val="10"/>
                <w:szCs w:val="10"/>
                <w:u w:val="none"/>
              </w:rPr>
            </w:pPr>
          </w:p>
        </w:tc>
      </w:tr>
      <w:tr w14:paraId="6B822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22EBCF">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E83DF7">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5E8D9397">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F295AE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0D1548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4DE9AB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-0.59</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4E3B27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-0.48</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C32508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A50A8E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-1.54</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1E3750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-0.84</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6CAF8C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-0.64</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888A09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-0.08</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90BC56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1.7</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129260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1.7</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830612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228FA68">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209E5ED">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4D2B4D5">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03BD171">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1C4ECAE">
            <w:pPr>
              <w:jc w:val="center"/>
              <w:rPr>
                <w:rFonts w:hint="default" w:ascii="Times New Roman" w:hAnsi="Times New Roman" w:eastAsia="宋体" w:cs="Times New Roman"/>
                <w:i w:val="0"/>
                <w:iCs w:val="0"/>
                <w:color w:val="000000"/>
                <w:sz w:val="10"/>
                <w:szCs w:val="10"/>
                <w:u w:val="none"/>
              </w:rPr>
            </w:pPr>
          </w:p>
        </w:tc>
      </w:tr>
      <w:tr w14:paraId="11787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81C9E9">
            <w:pPr>
              <w:jc w:val="center"/>
              <w:rPr>
                <w:rFonts w:hint="default" w:ascii="Times New Roman" w:hAnsi="Times New Roman" w:eastAsia="宋体" w:cs="Times New Roman"/>
                <w:b/>
                <w:bCs/>
                <w:i w:val="0"/>
                <w:iCs w:val="0"/>
                <w:color w:val="000000"/>
                <w:sz w:val="10"/>
                <w:szCs w:val="10"/>
                <w:u w:val="none"/>
              </w:rPr>
            </w:pP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1F7C3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60</w:t>
            </w: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83E78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24</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F9DE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3CDC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-3.12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F20A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7F8D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-1.28</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68EE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24E9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8F7F9">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AACBD">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42CEE">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A3B9B">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14479">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307F7">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72315">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F3AA0">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7016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F5EBB">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4516B">
            <w:pPr>
              <w:jc w:val="center"/>
              <w:rPr>
                <w:rFonts w:hint="default" w:ascii="Times New Roman" w:hAnsi="Times New Roman" w:eastAsia="宋体" w:cs="Times New Roman"/>
                <w:i w:val="0"/>
                <w:iCs w:val="0"/>
                <w:color w:val="000000"/>
                <w:sz w:val="10"/>
                <w:szCs w:val="10"/>
                <w:u w:val="none"/>
              </w:rPr>
            </w:pPr>
          </w:p>
        </w:tc>
      </w:tr>
      <w:tr w14:paraId="6E92A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D79803">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F8410E">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3AFA54">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4654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5A31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-2.82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9582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-1.53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5F33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-1.03</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2A7D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932B8">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21FFC">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98B2D">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BF0ED">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82466">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EE636">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CA1F6">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50761">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DD758">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5C71B">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3A0C9">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EA342">
            <w:pPr>
              <w:jc w:val="center"/>
              <w:rPr>
                <w:rFonts w:hint="default" w:ascii="Times New Roman" w:hAnsi="Times New Roman" w:eastAsia="宋体" w:cs="Times New Roman"/>
                <w:i w:val="0"/>
                <w:iCs w:val="0"/>
                <w:color w:val="000000"/>
                <w:sz w:val="10"/>
                <w:szCs w:val="10"/>
                <w:u w:val="none"/>
              </w:rPr>
            </w:pPr>
          </w:p>
        </w:tc>
      </w:tr>
      <w:tr w14:paraId="2244E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51EF13">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5CC9EE">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FCBD18">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5804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68C2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-2.66</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2161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-1.62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0C29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-0.93</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1FD1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1E6F2">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876FE">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55AC9">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76087">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45AEB">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71692">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0D3BF">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9C909">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063E8">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8DD7E">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B5E1E">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E287E">
            <w:pPr>
              <w:jc w:val="center"/>
              <w:rPr>
                <w:rFonts w:hint="default" w:ascii="Times New Roman" w:hAnsi="Times New Roman" w:eastAsia="宋体" w:cs="Times New Roman"/>
                <w:i w:val="0"/>
                <w:iCs w:val="0"/>
                <w:color w:val="000000"/>
                <w:sz w:val="10"/>
                <w:szCs w:val="10"/>
                <w:u w:val="none"/>
              </w:rPr>
            </w:pPr>
          </w:p>
        </w:tc>
      </w:tr>
      <w:tr w14:paraId="39763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9DF14D">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4EE315">
            <w:pPr>
              <w:jc w:val="center"/>
              <w:rPr>
                <w:rFonts w:hint="default" w:ascii="Times New Roman" w:hAnsi="Times New Roman" w:eastAsia="宋体" w:cs="Times New Roman"/>
                <w:b/>
                <w:bCs/>
                <w:i w:val="0"/>
                <w:iCs w:val="0"/>
                <w:color w:val="000000"/>
                <w:sz w:val="10"/>
                <w:szCs w:val="10"/>
                <w:u w:val="none"/>
              </w:rPr>
            </w:pP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EBF1DE"/>
            <w:vAlign w:val="center"/>
          </w:tcPr>
          <w:p w14:paraId="431759B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48</w:t>
            </w: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00C52E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3A57C9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-2.9</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922A2B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-1.58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D8DB61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-1.09</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AD138A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-0.09</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4ADDB4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-3.28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A839B0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-1.76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ACF356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-1.25</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9A54E4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-0.16</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BFFCC6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3.9</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E9274C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3.9</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2F0C61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1.5</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22047A6">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41B6AF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-1.32</w:t>
            </w: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8FA18A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39DE39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-0.28</w:t>
            </w: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CF7D3D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0.71</w:t>
            </w:r>
          </w:p>
        </w:tc>
      </w:tr>
      <w:tr w14:paraId="0BD68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1A2BC1">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163BE0">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505853CC">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BA6392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BDFD74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-2.68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2C3B92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-1.77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8ABB5F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-0.96</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0EACE8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411DE9E">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5C21E8D">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B47312D">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0448AEF">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C851E7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3.6</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2AAB38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3.6</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04A4EA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1.4</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B981ACA">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B6B44E9">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848E8CA">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195874F">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B106E35">
            <w:pPr>
              <w:jc w:val="center"/>
              <w:rPr>
                <w:rFonts w:hint="default" w:ascii="Times New Roman" w:hAnsi="Times New Roman" w:eastAsia="宋体" w:cs="Times New Roman"/>
                <w:i w:val="0"/>
                <w:iCs w:val="0"/>
                <w:color w:val="000000"/>
                <w:sz w:val="10"/>
                <w:szCs w:val="10"/>
                <w:u w:val="none"/>
              </w:rPr>
            </w:pPr>
          </w:p>
        </w:tc>
      </w:tr>
      <w:tr w14:paraId="10FFF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A75A2B">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13BF63">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5827E407">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CE9DD5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0380FC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-2.61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545E90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-1.85</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BF7BBB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-0.89</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771D86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77235B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-3.05</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6C41A7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-2.18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AF72A6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-1.13</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3875EDD">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BAA126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3.4</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6EBFD1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3.4</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DDED8A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1.3</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5148B1F">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3183EAB">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26742E4">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17E8299">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4646B64">
            <w:pPr>
              <w:jc w:val="center"/>
              <w:rPr>
                <w:rFonts w:hint="default" w:ascii="Times New Roman" w:hAnsi="Times New Roman" w:eastAsia="宋体" w:cs="Times New Roman"/>
                <w:i w:val="0"/>
                <w:iCs w:val="0"/>
                <w:color w:val="000000"/>
                <w:sz w:val="10"/>
                <w:szCs w:val="10"/>
                <w:u w:val="none"/>
              </w:rPr>
            </w:pPr>
          </w:p>
        </w:tc>
      </w:tr>
      <w:tr w14:paraId="1D054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5A82E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FR2</w:t>
            </w: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18570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60</w:t>
            </w: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432E7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24</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558F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5E6C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-2.36</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F775D">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-0.66</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06F2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-0.71</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C763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986FF">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C89CC">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1286F">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74949">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FAE3B">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BEC01">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2F61B">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1FFDC">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792B8">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21D1E">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B0728">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5B0F0">
            <w:pPr>
              <w:jc w:val="center"/>
              <w:rPr>
                <w:rFonts w:hint="default" w:ascii="Times New Roman" w:hAnsi="Times New Roman" w:eastAsia="宋体" w:cs="Times New Roman"/>
                <w:i w:val="0"/>
                <w:iCs w:val="0"/>
                <w:color w:val="000000"/>
                <w:sz w:val="10"/>
                <w:szCs w:val="10"/>
                <w:u w:val="none"/>
              </w:rPr>
            </w:pPr>
          </w:p>
        </w:tc>
      </w:tr>
      <w:tr w14:paraId="3A3548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56485F">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A0A8A4">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E2DF13">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D55A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EA69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-2.07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0C9C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350BD">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8267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B3283">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28967">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CB25C">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3180E">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C842B">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FC94A">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72159">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FB4ED">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3F3C0">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580F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01067">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9BBEB">
            <w:pPr>
              <w:jc w:val="center"/>
              <w:rPr>
                <w:rFonts w:hint="default" w:ascii="Times New Roman" w:hAnsi="Times New Roman" w:eastAsia="宋体" w:cs="Times New Roman"/>
                <w:i w:val="0"/>
                <w:iCs w:val="0"/>
                <w:color w:val="000000"/>
                <w:sz w:val="10"/>
                <w:szCs w:val="10"/>
                <w:u w:val="none"/>
              </w:rPr>
            </w:pPr>
          </w:p>
        </w:tc>
      </w:tr>
      <w:tr w14:paraId="72A99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151C08">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685506">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F2C78D">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3C9E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F8BD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-1.98</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C7BE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-1.04</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3039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-0.44</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9DA6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0.36</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FF3C0">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8AEEC">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F96CB">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BB647">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3FC4C">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E1CFD">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320BB">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F346D">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1CEDC">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57E1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2DB27">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8728C">
            <w:pPr>
              <w:jc w:val="center"/>
              <w:rPr>
                <w:rFonts w:hint="default" w:ascii="Times New Roman" w:hAnsi="Times New Roman" w:eastAsia="宋体" w:cs="Times New Roman"/>
                <w:i w:val="0"/>
                <w:iCs w:val="0"/>
                <w:color w:val="000000"/>
                <w:sz w:val="10"/>
                <w:szCs w:val="10"/>
                <w:u w:val="none"/>
              </w:rPr>
            </w:pPr>
          </w:p>
        </w:tc>
      </w:tr>
      <w:tr w14:paraId="2CE23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A4C200">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1217C8">
            <w:pPr>
              <w:jc w:val="center"/>
              <w:rPr>
                <w:rFonts w:hint="default" w:ascii="Times New Roman" w:hAnsi="Times New Roman" w:eastAsia="宋体" w:cs="Times New Roman"/>
                <w:b/>
                <w:bCs/>
                <w:i w:val="0"/>
                <w:iCs w:val="0"/>
                <w:color w:val="000000"/>
                <w:sz w:val="10"/>
                <w:szCs w:val="10"/>
                <w:u w:val="none"/>
              </w:rPr>
            </w:pP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EBF1DE"/>
            <w:vAlign w:val="center"/>
          </w:tcPr>
          <w:p w14:paraId="5C6113C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48</w:t>
            </w: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EA1833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021B34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-2.21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4FB0FA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-1.04</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606D45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4E526D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113B6D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-2.59</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AE1125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30831B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C2FB7D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AB3994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3.1</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240F58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3.1</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0B9F25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CBC5EDF">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347F70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-0.93</w:t>
            </w: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332D74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07C66D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-0.02</w:t>
            </w: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D1BB48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0.74</w:t>
            </w:r>
          </w:p>
        </w:tc>
      </w:tr>
      <w:tr w14:paraId="2C057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E738CF">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05414D">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5AC4E352">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C3816F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17C676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-2.04</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3AECC3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80229A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-0.47</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536254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7A36F2B">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225FA8F">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C0B07EE">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9BCDAEA">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C81E1D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2.7</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23B9A9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2.7</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EA9B77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BCAC94D">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C6992D8">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D14348D">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9ECC5FC">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4D201E0">
            <w:pPr>
              <w:jc w:val="center"/>
              <w:rPr>
                <w:rFonts w:hint="default" w:ascii="Times New Roman" w:hAnsi="Times New Roman" w:eastAsia="宋体" w:cs="Times New Roman"/>
                <w:i w:val="0"/>
                <w:iCs w:val="0"/>
                <w:color w:val="000000"/>
                <w:sz w:val="10"/>
                <w:szCs w:val="10"/>
                <w:u w:val="none"/>
              </w:rPr>
            </w:pPr>
          </w:p>
        </w:tc>
      </w:tr>
      <w:tr w14:paraId="2F038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CD7283">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382AA8">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53922822">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4A325D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449F91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-1.97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F040F7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B92213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-0.39</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61386F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E877AB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-2.33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7F9ADD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-1.56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0EA9D5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-0.56</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612BF7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0.02</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9814D7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2.6</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D535E9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2.6</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5F00FE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6AF3E59">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AAD06CD">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DF2115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4A9E863">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5FCC9DB">
            <w:pPr>
              <w:jc w:val="center"/>
              <w:rPr>
                <w:rFonts w:hint="default" w:ascii="Times New Roman" w:hAnsi="Times New Roman" w:eastAsia="宋体" w:cs="Times New Roman"/>
                <w:i w:val="0"/>
                <w:iCs w:val="0"/>
                <w:color w:val="000000"/>
                <w:sz w:val="10"/>
                <w:szCs w:val="10"/>
                <w:u w:val="none"/>
              </w:rPr>
            </w:pPr>
          </w:p>
        </w:tc>
      </w:tr>
      <w:tr w14:paraId="3519E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84D4DF">
            <w:pPr>
              <w:jc w:val="center"/>
              <w:rPr>
                <w:rFonts w:hint="default" w:ascii="Times New Roman" w:hAnsi="Times New Roman" w:eastAsia="宋体" w:cs="Times New Roman"/>
                <w:b/>
                <w:bCs/>
                <w:i w:val="0"/>
                <w:iCs w:val="0"/>
                <w:color w:val="000000"/>
                <w:sz w:val="10"/>
                <w:szCs w:val="10"/>
                <w:u w:val="none"/>
              </w:rPr>
            </w:pP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A0BEB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120</w:t>
            </w: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09FB8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24</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B4B0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7694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-5.58</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5A95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-3.12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5BB4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-1.07</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46B2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49553">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2921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808BD">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AA69F">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605F1">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09F86">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4313C">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486C2">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81257">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FB804">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347F1">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EB0B6">
            <w:pPr>
              <w:jc w:val="center"/>
              <w:rPr>
                <w:rFonts w:hint="default" w:ascii="Times New Roman" w:hAnsi="Times New Roman" w:eastAsia="宋体" w:cs="Times New Roman"/>
                <w:i w:val="0"/>
                <w:iCs w:val="0"/>
                <w:color w:val="000000"/>
                <w:sz w:val="10"/>
                <w:szCs w:val="10"/>
                <w:u w:val="none"/>
              </w:rPr>
            </w:pPr>
          </w:p>
        </w:tc>
      </w:tr>
      <w:tr w14:paraId="685B8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31BD5D">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8D1FFA">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8F9803">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B152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DBA1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-5.22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DB57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-3.48</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0AAF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-0.86</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E193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0.16</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A074D">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207B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7A291">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90561">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5148C">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6FA8A">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A5384">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76A43">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F9280">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53037">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3500D">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D8AE0">
            <w:pPr>
              <w:jc w:val="center"/>
              <w:rPr>
                <w:rFonts w:hint="default" w:ascii="Times New Roman" w:hAnsi="Times New Roman" w:eastAsia="宋体" w:cs="Times New Roman"/>
                <w:i w:val="0"/>
                <w:iCs w:val="0"/>
                <w:color w:val="000000"/>
                <w:sz w:val="10"/>
                <w:szCs w:val="10"/>
                <w:u w:val="none"/>
              </w:rPr>
            </w:pPr>
          </w:p>
        </w:tc>
      </w:tr>
      <w:tr w14:paraId="20BD6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22AED6">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1AE645">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2AF85F">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415D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A830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-5.06</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9951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-3.62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15F9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-0.76</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200A5">
            <w:pPr>
              <w:keepNext w:val="0"/>
              <w:keepLines w:val="0"/>
              <w:widowControl/>
              <w:suppressLineNumbers w:val="0"/>
              <w:jc w:val="right"/>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AEDB7">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B3480">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68D88">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28EFE">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39C52">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4DF3F">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A7376">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56F73">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E7B8A">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2D23E">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A458F">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F9DCE">
            <w:pPr>
              <w:jc w:val="center"/>
              <w:rPr>
                <w:rFonts w:hint="default" w:ascii="Times New Roman" w:hAnsi="Times New Roman" w:eastAsia="宋体" w:cs="Times New Roman"/>
                <w:i w:val="0"/>
                <w:iCs w:val="0"/>
                <w:color w:val="000000"/>
                <w:sz w:val="10"/>
                <w:szCs w:val="10"/>
                <w:u w:val="none"/>
              </w:rPr>
            </w:pPr>
          </w:p>
        </w:tc>
      </w:tr>
      <w:tr w14:paraId="2A7DF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729D7C">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A2C1E1">
            <w:pPr>
              <w:jc w:val="center"/>
              <w:rPr>
                <w:rFonts w:hint="default" w:ascii="Times New Roman" w:hAnsi="Times New Roman" w:eastAsia="宋体" w:cs="Times New Roman"/>
                <w:b/>
                <w:bCs/>
                <w:i w:val="0"/>
                <w:iCs w:val="0"/>
                <w:color w:val="000000"/>
                <w:sz w:val="10"/>
                <w:szCs w:val="10"/>
                <w:u w:val="none"/>
              </w:rPr>
            </w:pP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EBF1DE"/>
            <w:vAlign w:val="center"/>
          </w:tcPr>
          <w:p w14:paraId="20DCFC9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48</w:t>
            </w: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3AEB66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C612E5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-5.37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D987E9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-3.56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7B2A20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-0.93</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C37D25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0.09</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F455BB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-6.01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540242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DB8348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-1.05</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779EDD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-0.05</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17E4FE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6.8</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D27A7B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6.8</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0506E4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1.3</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3033DF9">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9424EA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-2.71</w:t>
            </w: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181379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B6CCB1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w:t>
            </w: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A305FD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0.73</w:t>
            </w:r>
          </w:p>
        </w:tc>
      </w:tr>
      <w:tr w14:paraId="69D32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CE8EFA">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18C17A">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35F49214">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1CC45F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53F195D">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-5.07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059273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-3.82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8D4CE3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-0.77</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66CDF4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10DB65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DCDB713">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E9BCCDC">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6527419">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C09A1E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6.2</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9832EB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6.2</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1D6CCB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1.1</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DD1F039">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FD67A93">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BF52C00">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9692487">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EF5B049">
            <w:pPr>
              <w:jc w:val="center"/>
              <w:rPr>
                <w:rFonts w:hint="default" w:ascii="Times New Roman" w:hAnsi="Times New Roman" w:eastAsia="宋体" w:cs="Times New Roman"/>
                <w:i w:val="0"/>
                <w:iCs w:val="0"/>
                <w:color w:val="000000"/>
                <w:sz w:val="10"/>
                <w:szCs w:val="10"/>
                <w:u w:val="none"/>
              </w:rPr>
            </w:pPr>
          </w:p>
        </w:tc>
      </w:tr>
      <w:tr w14:paraId="76B7E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960314">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CEA317">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0B80AB34">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668E4F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8E7B48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-4.96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076D4F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-3.92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90F4A0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-0.73</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FFE63D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-0.15</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1D0103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-5.56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C6EA63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-4.18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0386CB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-0.92</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E1FCBD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AE2A13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6</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AFDFF6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6</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1AF5D4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535FE74">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57555B0">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FAD2AF2">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BEEC1FE">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39DC946">
            <w:pPr>
              <w:jc w:val="center"/>
              <w:rPr>
                <w:rFonts w:hint="default" w:ascii="Times New Roman" w:hAnsi="Times New Roman" w:eastAsia="宋体" w:cs="Times New Roman"/>
                <w:i w:val="0"/>
                <w:iCs w:val="0"/>
                <w:color w:val="000000"/>
                <w:sz w:val="10"/>
                <w:szCs w:val="10"/>
                <w:u w:val="none"/>
              </w:rPr>
            </w:pPr>
          </w:p>
        </w:tc>
      </w:tr>
    </w:tbl>
    <w:p w14:paraId="76901EC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3C1382E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It can be seen that whether there is performance gap between case 1 and case 2 is related with SCS. For 15KHz SCS and 30KHz SCS, the performance gap between case 1 and case 2 is small, less than 1dB. While with larger SCS, e.g. 120KHz, the performance gap between case 1 and case 2 is large.</w:t>
      </w:r>
    </w:p>
    <w:p w14:paraId="1D949A7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1: L1-SRS-SRSP measurement performance gap between case 1 and case 2 is related with SCS</w:t>
      </w:r>
    </w:p>
    <w:p w14:paraId="0954F34C">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For 15KHz SCS and 30KHz SCS, the performance gap between case 1 and case 2 is small, less than 1dB. </w:t>
      </w:r>
    </w:p>
    <w:p w14:paraId="47288ADE">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For larger SCS, e.g. 120KHz, the performance gap between case 1 and case 2 is large.</w:t>
      </w:r>
    </w:p>
    <w:p w14:paraId="1060AC9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Legacy L3-SRS-RSRP accuracy requirements are SCS specific, as dulicated as following. </w:t>
      </w:r>
    </w:p>
    <w:p w14:paraId="461FAFD6">
      <w:pPr>
        <w:pStyle w:val="14"/>
        <w:rPr>
          <w:rFonts w:hint="default" w:ascii="Times New Roman" w:hAnsi="Times New Roman" w:cs="Times New Roman"/>
          <w:sz w:val="20"/>
          <w:szCs w:val="20"/>
        </w:rPr>
      </w:pPr>
      <w:r>
        <w:rPr>
          <w:rFonts w:hint="default" w:ascii="Times New Roman" w:hAnsi="Times New Roman" w:cs="Times New Roman"/>
          <w:sz w:val="20"/>
          <w:szCs w:val="20"/>
        </w:rPr>
        <w:t xml:space="preserve">Table 10.1.22.1.1-1:  SRS-RSRP absolute accuracy in FR1 </w:t>
      </w:r>
    </w:p>
    <w:tbl>
      <w:tblPr>
        <w:tblStyle w:val="9"/>
        <w:tblW w:w="5000" w:type="pct"/>
        <w:jc w:val="center"/>
        <w:tblLayout w:type="autofit"/>
        <w:tblCellMar>
          <w:top w:w="0" w:type="dxa"/>
          <w:left w:w="28" w:type="dxa"/>
          <w:bottom w:w="0" w:type="dxa"/>
          <w:right w:w="108" w:type="dxa"/>
        </w:tblCellMar>
      </w:tblPr>
      <w:tblGrid>
        <w:gridCol w:w="611"/>
        <w:gridCol w:w="611"/>
        <w:gridCol w:w="613"/>
        <w:gridCol w:w="611"/>
        <w:gridCol w:w="618"/>
        <w:gridCol w:w="694"/>
        <w:gridCol w:w="561"/>
        <w:gridCol w:w="1359"/>
        <w:gridCol w:w="648"/>
        <w:gridCol w:w="649"/>
        <w:gridCol w:w="649"/>
        <w:gridCol w:w="778"/>
        <w:gridCol w:w="849"/>
      </w:tblGrid>
      <w:tr w14:paraId="519C22E1">
        <w:trPr>
          <w:jc w:val="center"/>
        </w:trPr>
        <w:tc>
          <w:tcPr>
            <w:tcW w:w="2054" w:type="pct"/>
            <w:gridSpan w:val="6"/>
            <w:tcBorders>
              <w:top w:val="single" w:color="auto" w:sz="6" w:space="0"/>
              <w:left w:val="single" w:color="auto" w:sz="6" w:space="0"/>
              <w:bottom w:val="single" w:color="auto" w:sz="6" w:space="0"/>
              <w:right w:val="single" w:color="auto" w:sz="6" w:space="0"/>
            </w:tcBorders>
            <w:shd w:val="clear" w:color="auto" w:fill="auto"/>
          </w:tcPr>
          <w:p w14:paraId="48A9840D">
            <w:pPr>
              <w:pStyle w:val="15"/>
              <w:rPr>
                <w:rFonts w:hint="default" w:ascii="Times New Roman" w:hAnsi="Times New Roman" w:cs="Times New Roman"/>
                <w:sz w:val="16"/>
                <w:szCs w:val="16"/>
              </w:rPr>
            </w:pPr>
            <w:r>
              <w:rPr>
                <w:rFonts w:hint="default" w:ascii="Times New Roman" w:hAnsi="Times New Roman" w:cs="Times New Roman"/>
                <w:sz w:val="16"/>
                <w:szCs w:val="16"/>
              </w:rPr>
              <w:t>Accuracy</w:t>
            </w:r>
          </w:p>
        </w:tc>
        <w:tc>
          <w:tcPr>
            <w:tcW w:w="2946" w:type="pct"/>
            <w:gridSpan w:val="7"/>
            <w:tcBorders>
              <w:top w:val="single" w:color="auto" w:sz="4" w:space="0"/>
              <w:left w:val="single" w:color="auto" w:sz="6" w:space="0"/>
              <w:bottom w:val="single" w:color="auto" w:sz="6" w:space="0"/>
              <w:right w:val="single" w:color="auto" w:sz="4" w:space="0"/>
            </w:tcBorders>
            <w:shd w:val="clear" w:color="auto" w:fill="auto"/>
          </w:tcPr>
          <w:p w14:paraId="2A3BC25D">
            <w:pPr>
              <w:pStyle w:val="15"/>
              <w:rPr>
                <w:rFonts w:hint="default" w:ascii="Times New Roman" w:hAnsi="Times New Roman" w:cs="Times New Roman"/>
                <w:sz w:val="16"/>
                <w:szCs w:val="16"/>
              </w:rPr>
            </w:pPr>
            <w:r>
              <w:rPr>
                <w:rFonts w:hint="default" w:ascii="Times New Roman" w:hAnsi="Times New Roman" w:cs="Times New Roman"/>
                <w:sz w:val="16"/>
                <w:szCs w:val="16"/>
              </w:rPr>
              <w:t>Conditions</w:t>
            </w:r>
          </w:p>
        </w:tc>
      </w:tr>
      <w:tr w14:paraId="2CDFDA04">
        <w:tblPrEx>
          <w:tblCellMar>
            <w:top w:w="0" w:type="dxa"/>
            <w:left w:w="28" w:type="dxa"/>
            <w:bottom w:w="0" w:type="dxa"/>
            <w:right w:w="108" w:type="dxa"/>
          </w:tblCellMar>
        </w:tblPrEx>
        <w:trPr>
          <w:jc w:val="center"/>
        </w:trPr>
        <w:tc>
          <w:tcPr>
            <w:tcW w:w="1003" w:type="pct"/>
            <w:gridSpan w:val="3"/>
            <w:tcBorders>
              <w:top w:val="single" w:color="auto" w:sz="6" w:space="0"/>
              <w:left w:val="single" w:color="auto" w:sz="6" w:space="0"/>
              <w:right w:val="single" w:color="auto" w:sz="6" w:space="0"/>
            </w:tcBorders>
            <w:shd w:val="clear" w:color="auto" w:fill="auto"/>
          </w:tcPr>
          <w:p w14:paraId="6DF2FB4F">
            <w:pPr>
              <w:pStyle w:val="15"/>
              <w:rPr>
                <w:rFonts w:hint="default" w:ascii="Times New Roman" w:hAnsi="Times New Roman" w:cs="Times New Roman"/>
                <w:sz w:val="16"/>
                <w:szCs w:val="16"/>
              </w:rPr>
            </w:pPr>
            <w:r>
              <w:rPr>
                <w:rFonts w:hint="default" w:ascii="Times New Roman" w:hAnsi="Times New Roman" w:cs="Times New Roman"/>
                <w:sz w:val="16"/>
                <w:szCs w:val="16"/>
              </w:rPr>
              <w:t>Normal condition</w:t>
            </w:r>
          </w:p>
        </w:tc>
        <w:tc>
          <w:tcPr>
            <w:tcW w:w="1051" w:type="pct"/>
            <w:gridSpan w:val="3"/>
            <w:tcBorders>
              <w:top w:val="single" w:color="auto" w:sz="4" w:space="0"/>
              <w:left w:val="single" w:color="auto" w:sz="6" w:space="0"/>
              <w:right w:val="single" w:color="auto" w:sz="6" w:space="0"/>
            </w:tcBorders>
            <w:shd w:val="clear" w:color="auto" w:fill="auto"/>
          </w:tcPr>
          <w:p w14:paraId="1DA00348">
            <w:pPr>
              <w:pStyle w:val="15"/>
              <w:rPr>
                <w:rFonts w:hint="default" w:ascii="Times New Roman" w:hAnsi="Times New Roman" w:cs="Times New Roman"/>
                <w:sz w:val="16"/>
                <w:szCs w:val="16"/>
              </w:rPr>
            </w:pPr>
            <w:r>
              <w:rPr>
                <w:rFonts w:hint="default" w:ascii="Times New Roman" w:hAnsi="Times New Roman" w:cs="Times New Roman"/>
                <w:sz w:val="16"/>
                <w:szCs w:val="16"/>
              </w:rPr>
              <w:t>Extreme condition</w:t>
            </w:r>
          </w:p>
        </w:tc>
        <w:tc>
          <w:tcPr>
            <w:tcW w:w="307" w:type="pct"/>
            <w:tcBorders>
              <w:top w:val="single" w:color="auto" w:sz="6" w:space="0"/>
              <w:left w:val="single" w:color="auto" w:sz="6" w:space="0"/>
              <w:right w:val="single" w:color="auto" w:sz="6" w:space="0"/>
            </w:tcBorders>
            <w:shd w:val="clear" w:color="auto" w:fill="auto"/>
          </w:tcPr>
          <w:p w14:paraId="1EAAA51E">
            <w:pPr>
              <w:pStyle w:val="15"/>
              <w:rPr>
                <w:rFonts w:hint="default" w:ascii="Times New Roman" w:hAnsi="Times New Roman" w:cs="Times New Roman"/>
                <w:sz w:val="16"/>
                <w:szCs w:val="16"/>
              </w:rPr>
            </w:pPr>
            <w:r>
              <w:rPr>
                <w:rFonts w:hint="default" w:ascii="Times New Roman" w:hAnsi="Times New Roman" w:cs="Times New Roman"/>
                <w:sz w:val="16"/>
                <w:szCs w:val="16"/>
              </w:rPr>
              <w:t>SRS Ês/Iot</w:t>
            </w:r>
          </w:p>
        </w:tc>
        <w:tc>
          <w:tcPr>
            <w:tcW w:w="2639" w:type="pct"/>
            <w:gridSpan w:val="6"/>
            <w:tcBorders>
              <w:top w:val="single" w:color="auto" w:sz="6" w:space="0"/>
              <w:left w:val="single" w:color="auto" w:sz="6" w:space="0"/>
              <w:bottom w:val="single" w:color="auto" w:sz="6" w:space="0"/>
              <w:right w:val="single" w:color="auto" w:sz="4" w:space="0"/>
            </w:tcBorders>
            <w:shd w:val="clear" w:color="auto" w:fill="auto"/>
          </w:tcPr>
          <w:p w14:paraId="138D4013">
            <w:pPr>
              <w:pStyle w:val="15"/>
              <w:rPr>
                <w:rFonts w:hint="default" w:ascii="Times New Roman" w:hAnsi="Times New Roman" w:cs="Times New Roman"/>
                <w:sz w:val="16"/>
                <w:szCs w:val="16"/>
              </w:rPr>
            </w:pPr>
            <w:r>
              <w:rPr>
                <w:rFonts w:hint="default" w:ascii="Times New Roman" w:hAnsi="Times New Roman" w:cs="Times New Roman"/>
                <w:sz w:val="16"/>
                <w:szCs w:val="16"/>
              </w:rPr>
              <w:t>Io</w:t>
            </w:r>
            <w:r>
              <w:rPr>
                <w:rFonts w:hint="default" w:ascii="Times New Roman" w:hAnsi="Times New Roman" w:cs="Times New Roman"/>
                <w:sz w:val="16"/>
                <w:szCs w:val="16"/>
                <w:vertAlign w:val="superscript"/>
              </w:rPr>
              <w:t xml:space="preserve"> Note 1</w:t>
            </w:r>
            <w:r>
              <w:rPr>
                <w:rFonts w:hint="default" w:ascii="Times New Roman" w:hAnsi="Times New Roman" w:cs="Times New Roman"/>
                <w:sz w:val="16"/>
                <w:szCs w:val="16"/>
              </w:rPr>
              <w:t xml:space="preserve"> range</w:t>
            </w:r>
          </w:p>
        </w:tc>
      </w:tr>
      <w:tr w14:paraId="2F02D05E">
        <w:tblPrEx>
          <w:tblCellMar>
            <w:top w:w="0" w:type="dxa"/>
            <w:left w:w="28" w:type="dxa"/>
            <w:bottom w:w="0" w:type="dxa"/>
            <w:right w:w="108" w:type="dxa"/>
          </w:tblCellMar>
        </w:tblPrEx>
        <w:trPr>
          <w:jc w:val="center"/>
        </w:trPr>
        <w:tc>
          <w:tcPr>
            <w:tcW w:w="1003" w:type="pct"/>
            <w:gridSpan w:val="3"/>
            <w:tcBorders>
              <w:left w:val="single" w:color="auto" w:sz="6" w:space="0"/>
              <w:bottom w:val="single" w:color="auto" w:sz="6" w:space="0"/>
              <w:right w:val="single" w:color="auto" w:sz="6" w:space="0"/>
            </w:tcBorders>
            <w:shd w:val="clear" w:color="auto" w:fill="auto"/>
          </w:tcPr>
          <w:p w14:paraId="22BB9F60">
            <w:pPr>
              <w:pStyle w:val="15"/>
              <w:rPr>
                <w:rFonts w:hint="default" w:ascii="Times New Roman" w:hAnsi="Times New Roman" w:cs="Times New Roman"/>
                <w:sz w:val="16"/>
                <w:szCs w:val="16"/>
              </w:rPr>
            </w:pPr>
          </w:p>
        </w:tc>
        <w:tc>
          <w:tcPr>
            <w:tcW w:w="1051" w:type="pct"/>
            <w:gridSpan w:val="3"/>
            <w:tcBorders>
              <w:left w:val="single" w:color="auto" w:sz="6" w:space="0"/>
              <w:bottom w:val="single" w:color="auto" w:sz="6" w:space="0"/>
              <w:right w:val="single" w:color="auto" w:sz="6" w:space="0"/>
            </w:tcBorders>
            <w:shd w:val="clear" w:color="auto" w:fill="auto"/>
          </w:tcPr>
          <w:p w14:paraId="12DDEA23">
            <w:pPr>
              <w:pStyle w:val="15"/>
              <w:rPr>
                <w:rFonts w:hint="default" w:ascii="Times New Roman" w:hAnsi="Times New Roman" w:cs="Times New Roman"/>
                <w:sz w:val="16"/>
                <w:szCs w:val="16"/>
              </w:rPr>
            </w:pPr>
          </w:p>
        </w:tc>
        <w:tc>
          <w:tcPr>
            <w:tcW w:w="307" w:type="pct"/>
            <w:tcBorders>
              <w:left w:val="single" w:color="auto" w:sz="6" w:space="0"/>
              <w:bottom w:val="single" w:color="auto" w:sz="6" w:space="0"/>
              <w:right w:val="single" w:color="auto" w:sz="6" w:space="0"/>
            </w:tcBorders>
            <w:shd w:val="clear" w:color="auto" w:fill="auto"/>
          </w:tcPr>
          <w:p w14:paraId="666C0665">
            <w:pPr>
              <w:pStyle w:val="15"/>
              <w:rPr>
                <w:rFonts w:hint="default" w:ascii="Times New Roman" w:hAnsi="Times New Roman" w:cs="Times New Roman"/>
                <w:sz w:val="16"/>
                <w:szCs w:val="16"/>
              </w:rPr>
            </w:pPr>
          </w:p>
        </w:tc>
        <w:tc>
          <w:tcPr>
            <w:tcW w:w="710" w:type="pct"/>
            <w:tcBorders>
              <w:top w:val="single" w:color="auto" w:sz="6" w:space="0"/>
              <w:left w:val="single" w:color="auto" w:sz="6" w:space="0"/>
              <w:bottom w:val="single" w:color="auto" w:sz="6" w:space="0"/>
              <w:right w:val="single" w:color="auto" w:sz="4" w:space="0"/>
            </w:tcBorders>
            <w:shd w:val="clear" w:color="auto" w:fill="auto"/>
          </w:tcPr>
          <w:p w14:paraId="593E4E0C">
            <w:pPr>
              <w:pStyle w:val="15"/>
              <w:rPr>
                <w:rFonts w:hint="default" w:ascii="Times New Roman" w:hAnsi="Times New Roman" w:cs="Times New Roman"/>
                <w:sz w:val="16"/>
                <w:szCs w:val="16"/>
              </w:rPr>
            </w:pPr>
            <w:r>
              <w:rPr>
                <w:rFonts w:hint="default" w:ascii="Times New Roman" w:hAnsi="Times New Roman" w:cs="Times New Roman"/>
                <w:sz w:val="16"/>
                <w:szCs w:val="16"/>
              </w:rPr>
              <w:t>NR operating band groups</w:t>
            </w:r>
            <w:r>
              <w:rPr>
                <w:rFonts w:hint="default" w:ascii="Times New Roman" w:hAnsi="Times New Roman" w:cs="Times New Roman"/>
                <w:sz w:val="16"/>
                <w:szCs w:val="16"/>
                <w:vertAlign w:val="superscript"/>
              </w:rPr>
              <w:t xml:space="preserve"> Note 2</w:t>
            </w:r>
          </w:p>
        </w:tc>
        <w:tc>
          <w:tcPr>
            <w:tcW w:w="1479" w:type="pct"/>
            <w:gridSpan w:val="4"/>
            <w:tcBorders>
              <w:top w:val="single" w:color="auto" w:sz="4" w:space="0"/>
              <w:left w:val="single" w:color="auto" w:sz="4" w:space="0"/>
              <w:bottom w:val="single" w:color="auto" w:sz="6" w:space="0"/>
              <w:right w:val="single" w:color="auto" w:sz="6" w:space="0"/>
            </w:tcBorders>
            <w:shd w:val="clear" w:color="auto" w:fill="auto"/>
          </w:tcPr>
          <w:p w14:paraId="4644F7C7">
            <w:pPr>
              <w:pStyle w:val="15"/>
              <w:rPr>
                <w:rFonts w:hint="default" w:ascii="Times New Roman" w:hAnsi="Times New Roman" w:cs="Times New Roman"/>
                <w:sz w:val="16"/>
                <w:szCs w:val="16"/>
              </w:rPr>
            </w:pPr>
            <w:r>
              <w:rPr>
                <w:rFonts w:hint="default" w:ascii="Times New Roman" w:hAnsi="Times New Roman" w:cs="Times New Roman"/>
                <w:sz w:val="16"/>
                <w:szCs w:val="16"/>
              </w:rPr>
              <w:t>Minimum Io</w:t>
            </w:r>
          </w:p>
        </w:tc>
        <w:tc>
          <w:tcPr>
            <w:tcW w:w="450" w:type="pct"/>
            <w:tcBorders>
              <w:top w:val="single" w:color="auto" w:sz="4" w:space="0"/>
              <w:left w:val="single" w:color="auto" w:sz="6" w:space="0"/>
              <w:bottom w:val="single" w:color="auto" w:sz="6" w:space="0"/>
              <w:right w:val="single" w:color="auto" w:sz="4" w:space="0"/>
            </w:tcBorders>
            <w:shd w:val="clear" w:color="auto" w:fill="auto"/>
          </w:tcPr>
          <w:p w14:paraId="5EE269D4">
            <w:pPr>
              <w:pStyle w:val="15"/>
              <w:rPr>
                <w:rFonts w:hint="default" w:ascii="Times New Roman" w:hAnsi="Times New Roman" w:cs="Times New Roman"/>
                <w:sz w:val="16"/>
                <w:szCs w:val="16"/>
              </w:rPr>
            </w:pPr>
            <w:r>
              <w:rPr>
                <w:rFonts w:hint="default" w:ascii="Times New Roman" w:hAnsi="Times New Roman" w:cs="Times New Roman"/>
                <w:sz w:val="16"/>
                <w:szCs w:val="16"/>
              </w:rPr>
              <w:t>Maximum Io</w:t>
            </w:r>
          </w:p>
        </w:tc>
      </w:tr>
      <w:tr w14:paraId="0754A188">
        <w:tblPrEx>
          <w:tblCellMar>
            <w:top w:w="0" w:type="dxa"/>
            <w:left w:w="28" w:type="dxa"/>
            <w:bottom w:w="0" w:type="dxa"/>
            <w:right w:w="108" w:type="dxa"/>
          </w:tblCellMar>
        </w:tblPrEx>
        <w:trPr>
          <w:jc w:val="center"/>
        </w:trPr>
        <w:tc>
          <w:tcPr>
            <w:tcW w:w="2054" w:type="pct"/>
            <w:gridSpan w:val="6"/>
            <w:tcBorders>
              <w:top w:val="single" w:color="auto" w:sz="6" w:space="0"/>
              <w:left w:val="single" w:color="auto" w:sz="6" w:space="0"/>
              <w:bottom w:val="single" w:color="auto" w:sz="6" w:space="0"/>
              <w:right w:val="single" w:color="auto" w:sz="6" w:space="0"/>
            </w:tcBorders>
            <w:shd w:val="clear" w:color="auto" w:fill="auto"/>
          </w:tcPr>
          <w:p w14:paraId="1A0084A3">
            <w:pPr>
              <w:pStyle w:val="15"/>
              <w:rPr>
                <w:rFonts w:hint="default" w:ascii="Times New Roman" w:hAnsi="Times New Roman" w:cs="Times New Roman"/>
                <w:sz w:val="16"/>
                <w:szCs w:val="16"/>
                <w:lang w:eastAsia="zh-CN"/>
              </w:rPr>
            </w:pPr>
            <w:r>
              <w:rPr>
                <w:rFonts w:hint="default" w:ascii="Times New Roman" w:hAnsi="Times New Roman" w:cs="Times New Roman"/>
                <w:sz w:val="16"/>
                <w:szCs w:val="16"/>
              </w:rPr>
              <w:t>dB</w:t>
            </w:r>
          </w:p>
        </w:tc>
        <w:tc>
          <w:tcPr>
            <w:tcW w:w="307" w:type="pct"/>
            <w:tcBorders>
              <w:top w:val="single" w:color="auto" w:sz="6" w:space="0"/>
              <w:left w:val="single" w:color="auto" w:sz="6" w:space="0"/>
              <w:right w:val="single" w:color="auto" w:sz="6" w:space="0"/>
            </w:tcBorders>
            <w:shd w:val="clear" w:color="auto" w:fill="auto"/>
          </w:tcPr>
          <w:p w14:paraId="20ED1691">
            <w:pPr>
              <w:pStyle w:val="15"/>
              <w:rPr>
                <w:rFonts w:hint="default" w:ascii="Times New Roman" w:hAnsi="Times New Roman" w:cs="Times New Roman"/>
                <w:sz w:val="16"/>
                <w:szCs w:val="16"/>
              </w:rPr>
            </w:pPr>
            <w:r>
              <w:rPr>
                <w:rFonts w:hint="default" w:ascii="Times New Roman" w:hAnsi="Times New Roman" w:cs="Times New Roman"/>
                <w:sz w:val="16"/>
                <w:szCs w:val="16"/>
              </w:rPr>
              <w:t>dB</w:t>
            </w:r>
          </w:p>
        </w:tc>
        <w:tc>
          <w:tcPr>
            <w:tcW w:w="710" w:type="pct"/>
            <w:tcBorders>
              <w:top w:val="single" w:color="auto" w:sz="6" w:space="0"/>
              <w:left w:val="single" w:color="auto" w:sz="6" w:space="0"/>
              <w:right w:val="single" w:color="auto" w:sz="4" w:space="0"/>
            </w:tcBorders>
            <w:shd w:val="clear" w:color="auto" w:fill="auto"/>
          </w:tcPr>
          <w:p w14:paraId="428778BD">
            <w:pPr>
              <w:pStyle w:val="15"/>
              <w:rPr>
                <w:rFonts w:hint="default" w:ascii="Times New Roman" w:hAnsi="Times New Roman" w:cs="Times New Roman"/>
                <w:sz w:val="16"/>
                <w:szCs w:val="16"/>
              </w:rPr>
            </w:pPr>
          </w:p>
        </w:tc>
        <w:tc>
          <w:tcPr>
            <w:tcW w:w="1062" w:type="pct"/>
            <w:gridSpan w:val="3"/>
            <w:tcBorders>
              <w:top w:val="single" w:color="auto" w:sz="6" w:space="0"/>
              <w:left w:val="single" w:color="auto" w:sz="4" w:space="0"/>
              <w:right w:val="single" w:color="auto" w:sz="6" w:space="0"/>
            </w:tcBorders>
            <w:shd w:val="clear" w:color="auto" w:fill="auto"/>
          </w:tcPr>
          <w:p w14:paraId="622FD01C">
            <w:pPr>
              <w:pStyle w:val="15"/>
              <w:rPr>
                <w:rFonts w:hint="default" w:ascii="Times New Roman" w:hAnsi="Times New Roman" w:cs="Times New Roman"/>
                <w:sz w:val="16"/>
                <w:szCs w:val="16"/>
              </w:rPr>
            </w:pPr>
            <w:r>
              <w:rPr>
                <w:rFonts w:hint="default" w:ascii="Times New Roman" w:hAnsi="Times New Roman" w:cs="Times New Roman"/>
                <w:sz w:val="16"/>
                <w:szCs w:val="16"/>
              </w:rPr>
              <w:t>dBm / SCS</w:t>
            </w:r>
            <w:r>
              <w:rPr>
                <w:rFonts w:hint="default" w:ascii="Times New Roman" w:hAnsi="Times New Roman" w:cs="Times New Roman"/>
                <w:sz w:val="16"/>
                <w:szCs w:val="16"/>
                <w:vertAlign w:val="subscript"/>
              </w:rPr>
              <w:t>SRS</w:t>
            </w:r>
          </w:p>
        </w:tc>
        <w:tc>
          <w:tcPr>
            <w:tcW w:w="416" w:type="pct"/>
            <w:tcBorders>
              <w:top w:val="single" w:color="auto" w:sz="6" w:space="0"/>
              <w:left w:val="single" w:color="auto" w:sz="6" w:space="0"/>
              <w:right w:val="single" w:color="auto" w:sz="6" w:space="0"/>
            </w:tcBorders>
            <w:shd w:val="clear" w:color="auto" w:fill="auto"/>
          </w:tcPr>
          <w:p w14:paraId="5F4FC020">
            <w:pPr>
              <w:pStyle w:val="15"/>
              <w:rPr>
                <w:rFonts w:hint="default" w:ascii="Times New Roman" w:hAnsi="Times New Roman" w:cs="Times New Roman"/>
                <w:sz w:val="16"/>
                <w:szCs w:val="16"/>
              </w:rPr>
            </w:pPr>
            <w:r>
              <w:rPr>
                <w:rFonts w:hint="default" w:ascii="Times New Roman" w:hAnsi="Times New Roman" w:cs="Times New Roman"/>
                <w:sz w:val="16"/>
                <w:szCs w:val="16"/>
              </w:rPr>
              <w:t xml:space="preserve">dBm/BW </w:t>
            </w:r>
            <w:r>
              <w:rPr>
                <w:rFonts w:hint="default" w:ascii="Times New Roman" w:hAnsi="Times New Roman" w:cs="Times New Roman"/>
                <w:sz w:val="16"/>
                <w:szCs w:val="16"/>
                <w:vertAlign w:val="subscript"/>
              </w:rPr>
              <w:t>Channel</w:t>
            </w:r>
          </w:p>
        </w:tc>
        <w:tc>
          <w:tcPr>
            <w:tcW w:w="450" w:type="pct"/>
            <w:tcBorders>
              <w:top w:val="single" w:color="auto" w:sz="6" w:space="0"/>
              <w:left w:val="single" w:color="auto" w:sz="6" w:space="0"/>
              <w:right w:val="single" w:color="auto" w:sz="4" w:space="0"/>
            </w:tcBorders>
            <w:shd w:val="clear" w:color="auto" w:fill="auto"/>
          </w:tcPr>
          <w:p w14:paraId="118A726E">
            <w:pPr>
              <w:pStyle w:val="15"/>
              <w:rPr>
                <w:rFonts w:hint="default" w:ascii="Times New Roman" w:hAnsi="Times New Roman" w:cs="Times New Roman"/>
                <w:sz w:val="16"/>
                <w:szCs w:val="16"/>
              </w:rPr>
            </w:pPr>
            <w:r>
              <w:rPr>
                <w:rFonts w:hint="default" w:ascii="Times New Roman" w:hAnsi="Times New Roman" w:cs="Times New Roman"/>
                <w:sz w:val="16"/>
                <w:szCs w:val="16"/>
              </w:rPr>
              <w:t xml:space="preserve">dBm/BW </w:t>
            </w:r>
            <w:r>
              <w:rPr>
                <w:rFonts w:hint="default" w:ascii="Times New Roman" w:hAnsi="Times New Roman" w:cs="Times New Roman"/>
                <w:sz w:val="16"/>
                <w:szCs w:val="16"/>
                <w:vertAlign w:val="subscript"/>
              </w:rPr>
              <w:t>Channel</w:t>
            </w:r>
          </w:p>
        </w:tc>
      </w:tr>
      <w:tr w14:paraId="1AD6B608">
        <w:tblPrEx>
          <w:tblCellMar>
            <w:top w:w="0" w:type="dxa"/>
            <w:left w:w="28" w:type="dxa"/>
            <w:bottom w:w="0" w:type="dxa"/>
            <w:right w:w="108" w:type="dxa"/>
          </w:tblCellMar>
        </w:tblPrEx>
        <w:trPr>
          <w:jc w:val="center"/>
        </w:trPr>
        <w:tc>
          <w:tcPr>
            <w:tcW w:w="1003" w:type="pct"/>
            <w:gridSpan w:val="3"/>
            <w:tcBorders>
              <w:top w:val="single" w:color="auto" w:sz="6" w:space="0"/>
              <w:left w:val="single" w:color="auto" w:sz="6" w:space="0"/>
              <w:bottom w:val="single" w:color="auto" w:sz="6" w:space="0"/>
              <w:right w:val="single" w:color="auto" w:sz="6" w:space="0"/>
            </w:tcBorders>
            <w:shd w:val="clear" w:color="auto" w:fill="auto"/>
          </w:tcPr>
          <w:p w14:paraId="54C5A164">
            <w:pPr>
              <w:pStyle w:val="15"/>
              <w:rPr>
                <w:rFonts w:hint="default" w:ascii="Times New Roman" w:hAnsi="Times New Roman" w:cs="Times New Roman"/>
                <w:sz w:val="16"/>
                <w:szCs w:val="16"/>
              </w:rPr>
            </w:pPr>
            <w:r>
              <w:rPr>
                <w:rFonts w:hint="default" w:ascii="Times New Roman" w:hAnsi="Times New Roman" w:cs="Times New Roman"/>
                <w:sz w:val="16"/>
                <w:szCs w:val="16"/>
              </w:rPr>
              <w:t>SCS</w:t>
            </w:r>
            <w:r>
              <w:rPr>
                <w:rFonts w:hint="default" w:ascii="Times New Roman" w:hAnsi="Times New Roman" w:cs="Times New Roman"/>
                <w:sz w:val="16"/>
                <w:szCs w:val="16"/>
                <w:vertAlign w:val="subscript"/>
              </w:rPr>
              <w:t>SRS</w:t>
            </w:r>
            <w:r>
              <w:rPr>
                <w:rFonts w:hint="default" w:ascii="Times New Roman" w:hAnsi="Times New Roman" w:cs="Times New Roman"/>
                <w:sz w:val="16"/>
                <w:szCs w:val="16"/>
              </w:rPr>
              <w:t xml:space="preserve"> (kHz)</w:t>
            </w:r>
          </w:p>
        </w:tc>
        <w:tc>
          <w:tcPr>
            <w:tcW w:w="1051" w:type="pct"/>
            <w:gridSpan w:val="3"/>
            <w:tcBorders>
              <w:top w:val="single" w:color="auto" w:sz="6" w:space="0"/>
              <w:left w:val="single" w:color="auto" w:sz="6" w:space="0"/>
              <w:bottom w:val="single" w:color="auto" w:sz="6" w:space="0"/>
              <w:right w:val="single" w:color="auto" w:sz="6" w:space="0"/>
            </w:tcBorders>
            <w:shd w:val="clear" w:color="auto" w:fill="auto"/>
          </w:tcPr>
          <w:p w14:paraId="3CCD6201">
            <w:pPr>
              <w:pStyle w:val="15"/>
              <w:rPr>
                <w:rFonts w:hint="default" w:ascii="Times New Roman" w:hAnsi="Times New Roman" w:cs="Times New Roman"/>
                <w:sz w:val="16"/>
                <w:szCs w:val="16"/>
              </w:rPr>
            </w:pPr>
            <w:r>
              <w:rPr>
                <w:rFonts w:hint="default" w:ascii="Times New Roman" w:hAnsi="Times New Roman" w:cs="Times New Roman"/>
                <w:sz w:val="16"/>
                <w:szCs w:val="16"/>
              </w:rPr>
              <w:t>SCS</w:t>
            </w:r>
            <w:r>
              <w:rPr>
                <w:rFonts w:hint="default" w:ascii="Times New Roman" w:hAnsi="Times New Roman" w:cs="Times New Roman"/>
                <w:sz w:val="16"/>
                <w:szCs w:val="16"/>
                <w:vertAlign w:val="subscript"/>
              </w:rPr>
              <w:t>SRS</w:t>
            </w:r>
            <w:r>
              <w:rPr>
                <w:rFonts w:hint="default" w:ascii="Times New Roman" w:hAnsi="Times New Roman" w:cs="Times New Roman"/>
                <w:sz w:val="16"/>
                <w:szCs w:val="16"/>
              </w:rPr>
              <w:t xml:space="preserve"> (kHz)</w:t>
            </w:r>
          </w:p>
        </w:tc>
        <w:tc>
          <w:tcPr>
            <w:tcW w:w="307" w:type="pct"/>
            <w:tcBorders>
              <w:left w:val="single" w:color="auto" w:sz="6" w:space="0"/>
              <w:right w:val="single" w:color="auto" w:sz="6" w:space="0"/>
            </w:tcBorders>
            <w:shd w:val="clear" w:color="auto" w:fill="auto"/>
          </w:tcPr>
          <w:p w14:paraId="2E3590B0">
            <w:pPr>
              <w:pStyle w:val="15"/>
              <w:rPr>
                <w:rFonts w:hint="default" w:ascii="Times New Roman" w:hAnsi="Times New Roman" w:cs="Times New Roman"/>
                <w:sz w:val="16"/>
                <w:szCs w:val="16"/>
              </w:rPr>
            </w:pPr>
          </w:p>
        </w:tc>
        <w:tc>
          <w:tcPr>
            <w:tcW w:w="710" w:type="pct"/>
            <w:tcBorders>
              <w:left w:val="single" w:color="auto" w:sz="6" w:space="0"/>
              <w:right w:val="single" w:color="auto" w:sz="4" w:space="0"/>
            </w:tcBorders>
            <w:shd w:val="clear" w:color="auto" w:fill="auto"/>
          </w:tcPr>
          <w:p w14:paraId="57FC7EFC">
            <w:pPr>
              <w:pStyle w:val="15"/>
              <w:rPr>
                <w:rFonts w:hint="default" w:ascii="Times New Roman" w:hAnsi="Times New Roman" w:cs="Times New Roman"/>
                <w:sz w:val="16"/>
                <w:szCs w:val="16"/>
              </w:rPr>
            </w:pPr>
          </w:p>
        </w:tc>
        <w:tc>
          <w:tcPr>
            <w:tcW w:w="1062" w:type="pct"/>
            <w:gridSpan w:val="3"/>
            <w:tcBorders>
              <w:left w:val="single" w:color="auto" w:sz="4" w:space="0"/>
              <w:bottom w:val="single" w:color="auto" w:sz="6" w:space="0"/>
              <w:right w:val="single" w:color="auto" w:sz="6" w:space="0"/>
            </w:tcBorders>
            <w:shd w:val="clear" w:color="auto" w:fill="auto"/>
          </w:tcPr>
          <w:p w14:paraId="0CA07B97">
            <w:pPr>
              <w:pStyle w:val="15"/>
              <w:rPr>
                <w:rFonts w:hint="default" w:ascii="Times New Roman" w:hAnsi="Times New Roman" w:cs="Times New Roman"/>
                <w:sz w:val="16"/>
                <w:szCs w:val="16"/>
              </w:rPr>
            </w:pPr>
          </w:p>
        </w:tc>
        <w:tc>
          <w:tcPr>
            <w:tcW w:w="416" w:type="pct"/>
            <w:tcBorders>
              <w:left w:val="single" w:color="auto" w:sz="6" w:space="0"/>
              <w:right w:val="single" w:color="auto" w:sz="6" w:space="0"/>
            </w:tcBorders>
            <w:shd w:val="clear" w:color="auto" w:fill="auto"/>
          </w:tcPr>
          <w:p w14:paraId="03B214DE">
            <w:pPr>
              <w:pStyle w:val="15"/>
              <w:rPr>
                <w:rFonts w:hint="default" w:ascii="Times New Roman" w:hAnsi="Times New Roman" w:cs="Times New Roman"/>
                <w:sz w:val="16"/>
                <w:szCs w:val="16"/>
              </w:rPr>
            </w:pPr>
          </w:p>
        </w:tc>
        <w:tc>
          <w:tcPr>
            <w:tcW w:w="450" w:type="pct"/>
            <w:tcBorders>
              <w:left w:val="single" w:color="auto" w:sz="6" w:space="0"/>
              <w:right w:val="single" w:color="auto" w:sz="4" w:space="0"/>
            </w:tcBorders>
            <w:shd w:val="clear" w:color="auto" w:fill="auto"/>
          </w:tcPr>
          <w:p w14:paraId="61D74749">
            <w:pPr>
              <w:pStyle w:val="15"/>
              <w:rPr>
                <w:rFonts w:hint="default" w:ascii="Times New Roman" w:hAnsi="Times New Roman" w:cs="Times New Roman"/>
                <w:sz w:val="16"/>
                <w:szCs w:val="16"/>
              </w:rPr>
            </w:pPr>
          </w:p>
        </w:tc>
      </w:tr>
      <w:tr w14:paraId="5D9C11DB">
        <w:trPr>
          <w:jc w:val="center"/>
        </w:trPr>
        <w:tc>
          <w:tcPr>
            <w:tcW w:w="334" w:type="pct"/>
            <w:tcBorders>
              <w:top w:val="single" w:color="auto" w:sz="6" w:space="0"/>
              <w:left w:val="single" w:color="auto" w:sz="6" w:space="0"/>
              <w:bottom w:val="single" w:color="auto" w:sz="4" w:space="0"/>
              <w:right w:val="single" w:color="auto" w:sz="6" w:space="0"/>
            </w:tcBorders>
            <w:shd w:val="clear" w:color="auto" w:fill="auto"/>
          </w:tcPr>
          <w:p w14:paraId="3A1203B5">
            <w:pPr>
              <w:pStyle w:val="15"/>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15</w:t>
            </w:r>
          </w:p>
        </w:tc>
        <w:tc>
          <w:tcPr>
            <w:tcW w:w="334" w:type="pct"/>
            <w:tcBorders>
              <w:top w:val="single" w:color="auto" w:sz="6" w:space="0"/>
              <w:left w:val="single" w:color="auto" w:sz="6" w:space="0"/>
              <w:bottom w:val="single" w:color="auto" w:sz="4" w:space="0"/>
              <w:right w:val="single" w:color="auto" w:sz="6" w:space="0"/>
            </w:tcBorders>
            <w:shd w:val="clear" w:color="auto" w:fill="auto"/>
          </w:tcPr>
          <w:p w14:paraId="60251670">
            <w:pPr>
              <w:pStyle w:val="15"/>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30</w:t>
            </w:r>
          </w:p>
        </w:tc>
        <w:tc>
          <w:tcPr>
            <w:tcW w:w="334" w:type="pct"/>
            <w:tcBorders>
              <w:top w:val="single" w:color="auto" w:sz="6" w:space="0"/>
              <w:left w:val="single" w:color="auto" w:sz="6" w:space="0"/>
              <w:bottom w:val="single" w:color="auto" w:sz="4" w:space="0"/>
              <w:right w:val="single" w:color="auto" w:sz="6" w:space="0"/>
            </w:tcBorders>
            <w:shd w:val="clear" w:color="auto" w:fill="auto"/>
          </w:tcPr>
          <w:p w14:paraId="09DA9ECF">
            <w:pPr>
              <w:pStyle w:val="15"/>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60</w:t>
            </w:r>
          </w:p>
        </w:tc>
        <w:tc>
          <w:tcPr>
            <w:tcW w:w="334" w:type="pct"/>
            <w:tcBorders>
              <w:top w:val="single" w:color="auto" w:sz="6" w:space="0"/>
              <w:left w:val="single" w:color="auto" w:sz="6" w:space="0"/>
              <w:bottom w:val="single" w:color="auto" w:sz="4" w:space="0"/>
              <w:right w:val="single" w:color="auto" w:sz="6" w:space="0"/>
            </w:tcBorders>
            <w:shd w:val="clear" w:color="auto" w:fill="auto"/>
          </w:tcPr>
          <w:p w14:paraId="230B0FB1">
            <w:pPr>
              <w:pStyle w:val="15"/>
              <w:rPr>
                <w:rFonts w:hint="default" w:ascii="Times New Roman" w:hAnsi="Times New Roman" w:cs="Times New Roman"/>
                <w:sz w:val="16"/>
                <w:szCs w:val="16"/>
              </w:rPr>
            </w:pPr>
            <w:r>
              <w:rPr>
                <w:rFonts w:hint="default" w:ascii="Times New Roman" w:hAnsi="Times New Roman" w:cs="Times New Roman"/>
                <w:sz w:val="16"/>
                <w:szCs w:val="16"/>
                <w:lang w:eastAsia="zh-CN"/>
              </w:rPr>
              <w:t>15</w:t>
            </w:r>
          </w:p>
        </w:tc>
        <w:tc>
          <w:tcPr>
            <w:tcW w:w="338" w:type="pct"/>
            <w:tcBorders>
              <w:top w:val="single" w:color="auto" w:sz="6" w:space="0"/>
              <w:left w:val="single" w:color="auto" w:sz="6" w:space="0"/>
              <w:bottom w:val="single" w:color="auto" w:sz="4" w:space="0"/>
              <w:right w:val="single" w:color="auto" w:sz="6" w:space="0"/>
            </w:tcBorders>
            <w:shd w:val="clear" w:color="auto" w:fill="auto"/>
          </w:tcPr>
          <w:p w14:paraId="7A65BE62">
            <w:pPr>
              <w:pStyle w:val="15"/>
              <w:rPr>
                <w:rFonts w:hint="default" w:ascii="Times New Roman" w:hAnsi="Times New Roman" w:cs="Times New Roman"/>
                <w:sz w:val="16"/>
                <w:szCs w:val="16"/>
              </w:rPr>
            </w:pPr>
            <w:r>
              <w:rPr>
                <w:rFonts w:hint="default" w:ascii="Times New Roman" w:hAnsi="Times New Roman" w:cs="Times New Roman"/>
                <w:sz w:val="16"/>
                <w:szCs w:val="16"/>
                <w:lang w:eastAsia="zh-CN"/>
              </w:rPr>
              <w:t>30</w:t>
            </w:r>
          </w:p>
        </w:tc>
        <w:tc>
          <w:tcPr>
            <w:tcW w:w="379" w:type="pct"/>
            <w:tcBorders>
              <w:top w:val="single" w:color="auto" w:sz="6" w:space="0"/>
              <w:left w:val="single" w:color="auto" w:sz="6" w:space="0"/>
              <w:bottom w:val="single" w:color="auto" w:sz="4" w:space="0"/>
              <w:right w:val="single" w:color="auto" w:sz="6" w:space="0"/>
            </w:tcBorders>
            <w:shd w:val="clear" w:color="auto" w:fill="auto"/>
          </w:tcPr>
          <w:p w14:paraId="2C45A193">
            <w:pPr>
              <w:pStyle w:val="15"/>
              <w:rPr>
                <w:rFonts w:hint="default" w:ascii="Times New Roman" w:hAnsi="Times New Roman" w:cs="Times New Roman"/>
                <w:sz w:val="16"/>
                <w:szCs w:val="16"/>
              </w:rPr>
            </w:pPr>
            <w:r>
              <w:rPr>
                <w:rFonts w:hint="default" w:ascii="Times New Roman" w:hAnsi="Times New Roman" w:cs="Times New Roman"/>
                <w:sz w:val="16"/>
                <w:szCs w:val="16"/>
                <w:lang w:eastAsia="zh-CN"/>
              </w:rPr>
              <w:t>60</w:t>
            </w:r>
          </w:p>
        </w:tc>
        <w:tc>
          <w:tcPr>
            <w:tcW w:w="307" w:type="pct"/>
            <w:tcBorders>
              <w:left w:val="single" w:color="auto" w:sz="6" w:space="0"/>
              <w:bottom w:val="single" w:color="auto" w:sz="4" w:space="0"/>
              <w:right w:val="single" w:color="auto" w:sz="6" w:space="0"/>
            </w:tcBorders>
            <w:shd w:val="clear" w:color="auto" w:fill="auto"/>
          </w:tcPr>
          <w:p w14:paraId="06545481">
            <w:pPr>
              <w:pStyle w:val="15"/>
              <w:rPr>
                <w:rFonts w:hint="default" w:ascii="Times New Roman" w:hAnsi="Times New Roman" w:cs="Times New Roman"/>
                <w:sz w:val="16"/>
                <w:szCs w:val="16"/>
              </w:rPr>
            </w:pPr>
          </w:p>
        </w:tc>
        <w:tc>
          <w:tcPr>
            <w:tcW w:w="710" w:type="pct"/>
            <w:tcBorders>
              <w:left w:val="single" w:color="auto" w:sz="6" w:space="0"/>
              <w:right w:val="single" w:color="auto" w:sz="4" w:space="0"/>
            </w:tcBorders>
            <w:shd w:val="clear" w:color="auto" w:fill="auto"/>
          </w:tcPr>
          <w:p w14:paraId="6C3A9301">
            <w:pPr>
              <w:pStyle w:val="15"/>
              <w:rPr>
                <w:rFonts w:hint="default" w:ascii="Times New Roman" w:hAnsi="Times New Roman" w:cs="Times New Roman"/>
                <w:sz w:val="16"/>
                <w:szCs w:val="16"/>
              </w:rPr>
            </w:pPr>
          </w:p>
        </w:tc>
        <w:tc>
          <w:tcPr>
            <w:tcW w:w="354" w:type="pct"/>
            <w:tcBorders>
              <w:top w:val="single" w:color="auto" w:sz="6" w:space="0"/>
              <w:left w:val="single" w:color="auto" w:sz="4" w:space="0"/>
              <w:right w:val="single" w:color="auto" w:sz="6" w:space="0"/>
            </w:tcBorders>
            <w:shd w:val="clear" w:color="auto" w:fill="auto"/>
          </w:tcPr>
          <w:p w14:paraId="1E268BC5">
            <w:pPr>
              <w:pStyle w:val="15"/>
              <w:rPr>
                <w:rFonts w:hint="default" w:ascii="Times New Roman" w:hAnsi="Times New Roman" w:cs="Times New Roman"/>
                <w:sz w:val="16"/>
                <w:szCs w:val="16"/>
              </w:rPr>
            </w:pPr>
            <w:r>
              <w:rPr>
                <w:rFonts w:hint="default" w:ascii="Times New Roman" w:hAnsi="Times New Roman" w:cs="Times New Roman"/>
                <w:sz w:val="16"/>
                <w:szCs w:val="16"/>
              </w:rPr>
              <w:t>SCS</w:t>
            </w:r>
            <w:r>
              <w:rPr>
                <w:rFonts w:hint="default" w:ascii="Times New Roman" w:hAnsi="Times New Roman" w:cs="Times New Roman"/>
                <w:sz w:val="16"/>
                <w:szCs w:val="16"/>
                <w:vertAlign w:val="subscript"/>
              </w:rPr>
              <w:t>SRS</w:t>
            </w:r>
            <w:r>
              <w:rPr>
                <w:rFonts w:hint="default" w:ascii="Times New Roman" w:hAnsi="Times New Roman" w:cs="Times New Roman"/>
                <w:sz w:val="16"/>
                <w:szCs w:val="16"/>
              </w:rPr>
              <w:t xml:space="preserve"> = 15 kHz</w:t>
            </w:r>
          </w:p>
        </w:tc>
        <w:tc>
          <w:tcPr>
            <w:tcW w:w="354" w:type="pct"/>
            <w:tcBorders>
              <w:top w:val="single" w:color="auto" w:sz="6" w:space="0"/>
              <w:left w:val="single" w:color="auto" w:sz="4" w:space="0"/>
              <w:right w:val="single" w:color="auto" w:sz="6" w:space="0"/>
            </w:tcBorders>
            <w:shd w:val="clear" w:color="auto" w:fill="auto"/>
          </w:tcPr>
          <w:p w14:paraId="47CCC887">
            <w:pPr>
              <w:pStyle w:val="15"/>
              <w:rPr>
                <w:rFonts w:hint="default" w:ascii="Times New Roman" w:hAnsi="Times New Roman" w:cs="Times New Roman"/>
                <w:sz w:val="16"/>
                <w:szCs w:val="16"/>
              </w:rPr>
            </w:pPr>
            <w:r>
              <w:rPr>
                <w:rFonts w:hint="default" w:ascii="Times New Roman" w:hAnsi="Times New Roman" w:cs="Times New Roman"/>
                <w:sz w:val="16"/>
                <w:szCs w:val="16"/>
              </w:rPr>
              <w:t>SCS</w:t>
            </w:r>
            <w:r>
              <w:rPr>
                <w:rFonts w:hint="default" w:ascii="Times New Roman" w:hAnsi="Times New Roman" w:cs="Times New Roman"/>
                <w:sz w:val="16"/>
                <w:szCs w:val="16"/>
                <w:vertAlign w:val="subscript"/>
              </w:rPr>
              <w:t>SRS</w:t>
            </w:r>
            <w:r>
              <w:rPr>
                <w:rFonts w:hint="default" w:ascii="Times New Roman" w:hAnsi="Times New Roman" w:cs="Times New Roman"/>
                <w:sz w:val="16"/>
                <w:szCs w:val="16"/>
              </w:rPr>
              <w:t xml:space="preserve"> = 30 kHz</w:t>
            </w:r>
          </w:p>
        </w:tc>
        <w:tc>
          <w:tcPr>
            <w:tcW w:w="354" w:type="pct"/>
            <w:tcBorders>
              <w:top w:val="single" w:color="auto" w:sz="6" w:space="0"/>
              <w:left w:val="single" w:color="auto" w:sz="4" w:space="0"/>
              <w:right w:val="single" w:color="auto" w:sz="6" w:space="0"/>
            </w:tcBorders>
            <w:shd w:val="clear" w:color="auto" w:fill="auto"/>
          </w:tcPr>
          <w:p w14:paraId="1635B338">
            <w:pPr>
              <w:pStyle w:val="15"/>
              <w:rPr>
                <w:rFonts w:hint="default" w:ascii="Times New Roman" w:hAnsi="Times New Roman" w:cs="Times New Roman"/>
                <w:sz w:val="16"/>
                <w:szCs w:val="16"/>
              </w:rPr>
            </w:pPr>
            <w:r>
              <w:rPr>
                <w:rFonts w:hint="default" w:ascii="Times New Roman" w:hAnsi="Times New Roman" w:cs="Times New Roman"/>
                <w:sz w:val="16"/>
                <w:szCs w:val="16"/>
              </w:rPr>
              <w:t>SCS</w:t>
            </w:r>
            <w:r>
              <w:rPr>
                <w:rFonts w:hint="default" w:ascii="Times New Roman" w:hAnsi="Times New Roman" w:cs="Times New Roman"/>
                <w:sz w:val="16"/>
                <w:szCs w:val="16"/>
                <w:vertAlign w:val="subscript"/>
              </w:rPr>
              <w:t>SRS</w:t>
            </w:r>
            <w:r>
              <w:rPr>
                <w:rFonts w:hint="default" w:ascii="Times New Roman" w:hAnsi="Times New Roman" w:cs="Times New Roman"/>
                <w:sz w:val="16"/>
                <w:szCs w:val="16"/>
              </w:rPr>
              <w:t xml:space="preserve"> = 60 kHz</w:t>
            </w:r>
          </w:p>
        </w:tc>
        <w:tc>
          <w:tcPr>
            <w:tcW w:w="416" w:type="pct"/>
            <w:tcBorders>
              <w:left w:val="single" w:color="auto" w:sz="6" w:space="0"/>
              <w:right w:val="single" w:color="auto" w:sz="6" w:space="0"/>
            </w:tcBorders>
            <w:shd w:val="clear" w:color="auto" w:fill="auto"/>
          </w:tcPr>
          <w:p w14:paraId="25292C75">
            <w:pPr>
              <w:pStyle w:val="15"/>
              <w:rPr>
                <w:rFonts w:hint="default" w:ascii="Times New Roman" w:hAnsi="Times New Roman" w:cs="Times New Roman"/>
                <w:sz w:val="16"/>
                <w:szCs w:val="16"/>
              </w:rPr>
            </w:pPr>
          </w:p>
        </w:tc>
        <w:tc>
          <w:tcPr>
            <w:tcW w:w="450" w:type="pct"/>
            <w:tcBorders>
              <w:left w:val="single" w:color="auto" w:sz="6" w:space="0"/>
              <w:right w:val="single" w:color="auto" w:sz="4" w:space="0"/>
            </w:tcBorders>
            <w:shd w:val="clear" w:color="auto" w:fill="auto"/>
          </w:tcPr>
          <w:p w14:paraId="379B586D">
            <w:pPr>
              <w:pStyle w:val="15"/>
              <w:rPr>
                <w:rFonts w:hint="default" w:ascii="Times New Roman" w:hAnsi="Times New Roman" w:cs="Times New Roman"/>
                <w:sz w:val="16"/>
                <w:szCs w:val="16"/>
              </w:rPr>
            </w:pPr>
          </w:p>
        </w:tc>
      </w:tr>
      <w:tr w14:paraId="267C1D0D">
        <w:tblPrEx>
          <w:tblCellMar>
            <w:top w:w="0" w:type="dxa"/>
            <w:left w:w="28" w:type="dxa"/>
            <w:bottom w:w="0" w:type="dxa"/>
            <w:right w:w="108" w:type="dxa"/>
          </w:tblCellMar>
        </w:tblPrEx>
        <w:trPr>
          <w:jc w:val="center"/>
        </w:trPr>
        <w:tc>
          <w:tcPr>
            <w:tcW w:w="334" w:type="pct"/>
            <w:tcBorders>
              <w:top w:val="single" w:color="auto" w:sz="4" w:space="0"/>
              <w:left w:val="single" w:color="auto" w:sz="4" w:space="0"/>
              <w:right w:val="single" w:color="auto" w:sz="4" w:space="0"/>
            </w:tcBorders>
            <w:shd w:val="clear" w:color="auto" w:fill="auto"/>
            <w:vAlign w:val="center"/>
          </w:tcPr>
          <w:p w14:paraId="4765EA9B">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3</w:t>
            </w:r>
          </w:p>
        </w:tc>
        <w:tc>
          <w:tcPr>
            <w:tcW w:w="334" w:type="pct"/>
            <w:tcBorders>
              <w:top w:val="single" w:color="auto" w:sz="4" w:space="0"/>
              <w:left w:val="single" w:color="auto" w:sz="4" w:space="0"/>
              <w:right w:val="single" w:color="auto" w:sz="4" w:space="0"/>
            </w:tcBorders>
            <w:shd w:val="clear" w:color="auto" w:fill="auto"/>
            <w:vAlign w:val="center"/>
          </w:tcPr>
          <w:p w14:paraId="2BE6134D">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3.5</w:t>
            </w:r>
          </w:p>
        </w:tc>
        <w:tc>
          <w:tcPr>
            <w:tcW w:w="334" w:type="pct"/>
            <w:tcBorders>
              <w:top w:val="single" w:color="auto" w:sz="4" w:space="0"/>
              <w:left w:val="single" w:color="auto" w:sz="4" w:space="0"/>
              <w:right w:val="single" w:color="auto" w:sz="4" w:space="0"/>
            </w:tcBorders>
            <w:shd w:val="clear" w:color="auto" w:fill="auto"/>
            <w:vAlign w:val="center"/>
          </w:tcPr>
          <w:p w14:paraId="347F4664">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5</w:t>
            </w:r>
          </w:p>
        </w:tc>
        <w:tc>
          <w:tcPr>
            <w:tcW w:w="334" w:type="pct"/>
            <w:tcBorders>
              <w:top w:val="single" w:color="auto" w:sz="4" w:space="0"/>
              <w:left w:val="single" w:color="auto" w:sz="4" w:space="0"/>
              <w:right w:val="single" w:color="auto" w:sz="4" w:space="0"/>
            </w:tcBorders>
            <w:shd w:val="clear" w:color="auto" w:fill="auto"/>
            <w:vAlign w:val="center"/>
          </w:tcPr>
          <w:p w14:paraId="11BC46DE">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7.5</w:t>
            </w:r>
          </w:p>
        </w:tc>
        <w:tc>
          <w:tcPr>
            <w:tcW w:w="338" w:type="pct"/>
            <w:tcBorders>
              <w:top w:val="single" w:color="auto" w:sz="4" w:space="0"/>
              <w:left w:val="single" w:color="auto" w:sz="4" w:space="0"/>
              <w:right w:val="single" w:color="auto" w:sz="4" w:space="0"/>
            </w:tcBorders>
            <w:shd w:val="clear" w:color="auto" w:fill="auto"/>
            <w:vAlign w:val="center"/>
          </w:tcPr>
          <w:p w14:paraId="7EF772A2">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8</w:t>
            </w:r>
          </w:p>
        </w:tc>
        <w:tc>
          <w:tcPr>
            <w:tcW w:w="379" w:type="pct"/>
            <w:tcBorders>
              <w:top w:val="single" w:color="auto" w:sz="4" w:space="0"/>
              <w:left w:val="single" w:color="auto" w:sz="4" w:space="0"/>
              <w:right w:val="single" w:color="auto" w:sz="4" w:space="0"/>
            </w:tcBorders>
            <w:shd w:val="clear" w:color="auto" w:fill="auto"/>
            <w:vAlign w:val="center"/>
          </w:tcPr>
          <w:p w14:paraId="75F5B5B2">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9.5</w:t>
            </w:r>
          </w:p>
        </w:tc>
        <w:tc>
          <w:tcPr>
            <w:tcW w:w="307" w:type="pct"/>
            <w:tcBorders>
              <w:top w:val="single" w:color="auto" w:sz="4" w:space="0"/>
              <w:left w:val="single" w:color="auto" w:sz="4" w:space="0"/>
              <w:right w:val="single" w:color="auto" w:sz="4" w:space="0"/>
            </w:tcBorders>
            <w:shd w:val="clear" w:color="auto" w:fill="auto"/>
            <w:vAlign w:val="center"/>
          </w:tcPr>
          <w:p w14:paraId="6E486FD0">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3"/>
            </w:r>
            <w:r>
              <w:rPr>
                <w:rFonts w:hint="default" w:ascii="Times New Roman" w:hAnsi="Times New Roman" w:cs="Times New Roman"/>
                <w:sz w:val="16"/>
                <w:szCs w:val="16"/>
              </w:rPr>
              <w:t>1</w:t>
            </w:r>
          </w:p>
        </w:tc>
        <w:tc>
          <w:tcPr>
            <w:tcW w:w="710" w:type="pct"/>
            <w:tcBorders>
              <w:top w:val="single" w:color="auto" w:sz="6" w:space="0"/>
              <w:left w:val="single" w:color="auto" w:sz="4" w:space="0"/>
              <w:bottom w:val="single" w:color="auto" w:sz="6" w:space="0"/>
              <w:right w:val="single" w:color="auto" w:sz="4" w:space="0"/>
            </w:tcBorders>
            <w:shd w:val="clear" w:color="auto" w:fill="auto"/>
            <w:vAlign w:val="center"/>
          </w:tcPr>
          <w:p w14:paraId="6BF66C08">
            <w:pPr>
              <w:pStyle w:val="16"/>
              <w:rPr>
                <w:rFonts w:hint="default" w:ascii="Times New Roman" w:hAnsi="Times New Roman" w:cs="Times New Roman"/>
                <w:sz w:val="16"/>
                <w:szCs w:val="16"/>
              </w:rPr>
            </w:pPr>
            <w:r>
              <w:rPr>
                <w:rFonts w:hint="default" w:ascii="Times New Roman" w:hAnsi="Times New Roman" w:cs="Times New Roman"/>
                <w:sz w:val="16"/>
                <w:szCs w:val="16"/>
              </w:rPr>
              <w:t>NR_TDD_FR1_A,</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679B5747">
            <w:pPr>
              <w:pStyle w:val="16"/>
              <w:rPr>
                <w:rFonts w:hint="default" w:ascii="Times New Roman" w:hAnsi="Times New Roman" w:cs="Times New Roman"/>
                <w:sz w:val="16"/>
                <w:szCs w:val="16"/>
              </w:rPr>
            </w:pPr>
            <w:r>
              <w:rPr>
                <w:rFonts w:hint="default" w:ascii="Times New Roman" w:hAnsi="Times New Roman" w:cs="Times New Roman"/>
                <w:sz w:val="16"/>
                <w:szCs w:val="16"/>
              </w:rPr>
              <w:t>-120</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4D70400B">
            <w:pPr>
              <w:pStyle w:val="16"/>
              <w:rPr>
                <w:rFonts w:hint="default" w:ascii="Times New Roman" w:hAnsi="Times New Roman" w:cs="Times New Roman"/>
                <w:sz w:val="16"/>
                <w:szCs w:val="16"/>
              </w:rPr>
            </w:pPr>
            <w:r>
              <w:rPr>
                <w:rFonts w:hint="default" w:ascii="Times New Roman" w:hAnsi="Times New Roman" w:cs="Times New Roman"/>
                <w:sz w:val="16"/>
                <w:szCs w:val="16"/>
              </w:rPr>
              <w:t>-117</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6655CC7F">
            <w:pPr>
              <w:pStyle w:val="16"/>
              <w:rPr>
                <w:rFonts w:hint="default" w:ascii="Times New Roman" w:hAnsi="Times New Roman" w:cs="Times New Roman"/>
                <w:sz w:val="16"/>
                <w:szCs w:val="16"/>
              </w:rPr>
            </w:pPr>
            <w:r>
              <w:rPr>
                <w:rFonts w:hint="default" w:ascii="Times New Roman" w:hAnsi="Times New Roman" w:cs="Times New Roman"/>
                <w:sz w:val="16"/>
                <w:szCs w:val="16"/>
                <w:lang w:eastAsia="ko-KR"/>
              </w:rPr>
              <w:t>-114</w:t>
            </w:r>
          </w:p>
        </w:tc>
        <w:tc>
          <w:tcPr>
            <w:tcW w:w="416" w:type="pct"/>
            <w:tcBorders>
              <w:top w:val="single" w:color="auto" w:sz="6" w:space="0"/>
              <w:left w:val="single" w:color="auto" w:sz="6" w:space="0"/>
              <w:bottom w:val="single" w:color="auto" w:sz="6" w:space="0"/>
              <w:right w:val="single" w:color="auto" w:sz="6" w:space="0"/>
            </w:tcBorders>
            <w:shd w:val="clear" w:color="auto" w:fill="auto"/>
            <w:vAlign w:val="center"/>
          </w:tcPr>
          <w:p w14:paraId="04931090">
            <w:pPr>
              <w:pStyle w:val="16"/>
              <w:rPr>
                <w:rFonts w:hint="default" w:ascii="Times New Roman" w:hAnsi="Times New Roman" w:cs="Times New Roman"/>
                <w:sz w:val="16"/>
                <w:szCs w:val="16"/>
              </w:rPr>
            </w:pPr>
            <w:r>
              <w:rPr>
                <w:rFonts w:hint="default" w:ascii="Times New Roman" w:hAnsi="Times New Roman" w:cs="Times New Roman"/>
                <w:sz w:val="16"/>
                <w:szCs w:val="16"/>
              </w:rPr>
              <w:t>N/A</w:t>
            </w:r>
          </w:p>
        </w:tc>
        <w:tc>
          <w:tcPr>
            <w:tcW w:w="450" w:type="pct"/>
            <w:tcBorders>
              <w:top w:val="single" w:color="auto" w:sz="6" w:space="0"/>
              <w:left w:val="single" w:color="auto" w:sz="6" w:space="0"/>
              <w:bottom w:val="single" w:color="auto" w:sz="6" w:space="0"/>
              <w:right w:val="single" w:color="auto" w:sz="4" w:space="0"/>
            </w:tcBorders>
            <w:shd w:val="clear" w:color="auto" w:fill="auto"/>
            <w:vAlign w:val="center"/>
          </w:tcPr>
          <w:p w14:paraId="18EF116C">
            <w:pPr>
              <w:pStyle w:val="16"/>
              <w:rPr>
                <w:rFonts w:hint="default" w:ascii="Times New Roman" w:hAnsi="Times New Roman" w:cs="Times New Roman"/>
                <w:sz w:val="16"/>
                <w:szCs w:val="16"/>
              </w:rPr>
            </w:pPr>
            <w:r>
              <w:rPr>
                <w:rFonts w:hint="default" w:ascii="Times New Roman" w:hAnsi="Times New Roman" w:cs="Times New Roman"/>
                <w:sz w:val="16"/>
                <w:szCs w:val="16"/>
              </w:rPr>
              <w:t>-70</w:t>
            </w:r>
          </w:p>
        </w:tc>
      </w:tr>
      <w:tr w14:paraId="4CF4C1A3">
        <w:tblPrEx>
          <w:tblCellMar>
            <w:top w:w="0" w:type="dxa"/>
            <w:left w:w="28" w:type="dxa"/>
            <w:bottom w:w="0" w:type="dxa"/>
            <w:right w:w="108" w:type="dxa"/>
          </w:tblCellMar>
        </w:tblPrEx>
        <w:trPr>
          <w:jc w:val="center"/>
        </w:trPr>
        <w:tc>
          <w:tcPr>
            <w:tcW w:w="334" w:type="pct"/>
            <w:tcBorders>
              <w:left w:val="single" w:color="auto" w:sz="4" w:space="0"/>
              <w:right w:val="single" w:color="auto" w:sz="4" w:space="0"/>
            </w:tcBorders>
            <w:shd w:val="clear" w:color="auto" w:fill="auto"/>
            <w:vAlign w:val="center"/>
          </w:tcPr>
          <w:p w14:paraId="027333C6">
            <w:pPr>
              <w:pStyle w:val="16"/>
              <w:rPr>
                <w:rFonts w:hint="default" w:ascii="Times New Roman" w:hAnsi="Times New Roman" w:cs="Times New Roman"/>
                <w:sz w:val="16"/>
                <w:szCs w:val="16"/>
              </w:rPr>
            </w:pPr>
          </w:p>
        </w:tc>
        <w:tc>
          <w:tcPr>
            <w:tcW w:w="334" w:type="pct"/>
            <w:tcBorders>
              <w:left w:val="single" w:color="auto" w:sz="4" w:space="0"/>
              <w:right w:val="single" w:color="auto" w:sz="4" w:space="0"/>
            </w:tcBorders>
            <w:shd w:val="clear" w:color="auto" w:fill="auto"/>
            <w:vAlign w:val="center"/>
          </w:tcPr>
          <w:p w14:paraId="1895E150">
            <w:pPr>
              <w:pStyle w:val="16"/>
              <w:rPr>
                <w:rFonts w:hint="default" w:ascii="Times New Roman" w:hAnsi="Times New Roman" w:cs="Times New Roman"/>
                <w:sz w:val="16"/>
                <w:szCs w:val="16"/>
              </w:rPr>
            </w:pPr>
          </w:p>
        </w:tc>
        <w:tc>
          <w:tcPr>
            <w:tcW w:w="334" w:type="pct"/>
            <w:tcBorders>
              <w:left w:val="single" w:color="auto" w:sz="4" w:space="0"/>
              <w:right w:val="single" w:color="auto" w:sz="4" w:space="0"/>
            </w:tcBorders>
            <w:shd w:val="clear" w:color="auto" w:fill="auto"/>
            <w:vAlign w:val="center"/>
          </w:tcPr>
          <w:p w14:paraId="48F17E40">
            <w:pPr>
              <w:pStyle w:val="16"/>
              <w:rPr>
                <w:rFonts w:hint="default" w:ascii="Times New Roman" w:hAnsi="Times New Roman" w:cs="Times New Roman"/>
                <w:sz w:val="16"/>
                <w:szCs w:val="16"/>
              </w:rPr>
            </w:pPr>
          </w:p>
        </w:tc>
        <w:tc>
          <w:tcPr>
            <w:tcW w:w="334" w:type="pct"/>
            <w:tcBorders>
              <w:left w:val="single" w:color="auto" w:sz="4" w:space="0"/>
              <w:right w:val="single" w:color="auto" w:sz="4" w:space="0"/>
            </w:tcBorders>
            <w:shd w:val="clear" w:color="auto" w:fill="auto"/>
            <w:vAlign w:val="center"/>
          </w:tcPr>
          <w:p w14:paraId="738532F7">
            <w:pPr>
              <w:pStyle w:val="16"/>
              <w:rPr>
                <w:rFonts w:hint="default" w:ascii="Times New Roman" w:hAnsi="Times New Roman" w:cs="Times New Roman"/>
                <w:sz w:val="16"/>
                <w:szCs w:val="16"/>
              </w:rPr>
            </w:pPr>
          </w:p>
        </w:tc>
        <w:tc>
          <w:tcPr>
            <w:tcW w:w="338" w:type="pct"/>
            <w:tcBorders>
              <w:left w:val="single" w:color="auto" w:sz="4" w:space="0"/>
              <w:right w:val="single" w:color="auto" w:sz="4" w:space="0"/>
            </w:tcBorders>
            <w:shd w:val="clear" w:color="auto" w:fill="auto"/>
            <w:vAlign w:val="center"/>
          </w:tcPr>
          <w:p w14:paraId="58012624">
            <w:pPr>
              <w:pStyle w:val="16"/>
              <w:rPr>
                <w:rFonts w:hint="default" w:ascii="Times New Roman" w:hAnsi="Times New Roman" w:cs="Times New Roman"/>
                <w:sz w:val="16"/>
                <w:szCs w:val="16"/>
              </w:rPr>
            </w:pPr>
          </w:p>
        </w:tc>
        <w:tc>
          <w:tcPr>
            <w:tcW w:w="379" w:type="pct"/>
            <w:tcBorders>
              <w:left w:val="single" w:color="auto" w:sz="4" w:space="0"/>
              <w:right w:val="single" w:color="auto" w:sz="4" w:space="0"/>
            </w:tcBorders>
            <w:shd w:val="clear" w:color="auto" w:fill="auto"/>
            <w:vAlign w:val="center"/>
          </w:tcPr>
          <w:p w14:paraId="3F210905">
            <w:pPr>
              <w:pStyle w:val="16"/>
              <w:rPr>
                <w:rFonts w:hint="default" w:ascii="Times New Roman" w:hAnsi="Times New Roman" w:cs="Times New Roman"/>
                <w:sz w:val="16"/>
                <w:szCs w:val="16"/>
              </w:rPr>
            </w:pPr>
          </w:p>
        </w:tc>
        <w:tc>
          <w:tcPr>
            <w:tcW w:w="307" w:type="pct"/>
            <w:tcBorders>
              <w:left w:val="single" w:color="auto" w:sz="4" w:space="0"/>
              <w:right w:val="single" w:color="auto" w:sz="4" w:space="0"/>
            </w:tcBorders>
            <w:shd w:val="clear" w:color="auto" w:fill="auto"/>
            <w:vAlign w:val="center"/>
          </w:tcPr>
          <w:p w14:paraId="7163EBC4">
            <w:pPr>
              <w:pStyle w:val="16"/>
              <w:rPr>
                <w:rFonts w:hint="default" w:ascii="Times New Roman" w:hAnsi="Times New Roman" w:cs="Times New Roman"/>
                <w:sz w:val="16"/>
                <w:szCs w:val="16"/>
              </w:rPr>
            </w:pPr>
          </w:p>
        </w:tc>
        <w:tc>
          <w:tcPr>
            <w:tcW w:w="710" w:type="pct"/>
            <w:tcBorders>
              <w:top w:val="single" w:color="auto" w:sz="6" w:space="0"/>
              <w:left w:val="single" w:color="auto" w:sz="4" w:space="0"/>
              <w:bottom w:val="single" w:color="auto" w:sz="6" w:space="0"/>
              <w:right w:val="single" w:color="auto" w:sz="4" w:space="0"/>
            </w:tcBorders>
            <w:shd w:val="clear" w:color="auto" w:fill="auto"/>
            <w:vAlign w:val="center"/>
          </w:tcPr>
          <w:p w14:paraId="2158AE13">
            <w:pPr>
              <w:pStyle w:val="16"/>
              <w:rPr>
                <w:rFonts w:hint="default" w:ascii="Times New Roman" w:hAnsi="Times New Roman" w:cs="Times New Roman"/>
                <w:sz w:val="16"/>
                <w:szCs w:val="16"/>
              </w:rPr>
            </w:pPr>
            <w:r>
              <w:rPr>
                <w:rFonts w:hint="default" w:ascii="Times New Roman" w:hAnsi="Times New Roman" w:cs="Times New Roman"/>
                <w:sz w:val="16"/>
                <w:szCs w:val="16"/>
              </w:rPr>
              <w:t>NR_TDD_FR1_C</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621AC9B8">
            <w:pPr>
              <w:pStyle w:val="16"/>
              <w:rPr>
                <w:rFonts w:hint="default" w:ascii="Times New Roman" w:hAnsi="Times New Roman" w:cs="Times New Roman"/>
                <w:sz w:val="16"/>
                <w:szCs w:val="16"/>
              </w:rPr>
            </w:pPr>
            <w:r>
              <w:rPr>
                <w:rFonts w:hint="default" w:ascii="Times New Roman" w:hAnsi="Times New Roman" w:cs="Times New Roman"/>
                <w:sz w:val="16"/>
                <w:szCs w:val="16"/>
              </w:rPr>
              <w:t>-119</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38B9883D">
            <w:pPr>
              <w:pStyle w:val="16"/>
              <w:rPr>
                <w:rFonts w:hint="default" w:ascii="Times New Roman" w:hAnsi="Times New Roman" w:cs="Times New Roman"/>
                <w:sz w:val="16"/>
                <w:szCs w:val="16"/>
              </w:rPr>
            </w:pPr>
            <w:r>
              <w:rPr>
                <w:rFonts w:hint="default" w:ascii="Times New Roman" w:hAnsi="Times New Roman" w:cs="Times New Roman"/>
                <w:sz w:val="16"/>
                <w:szCs w:val="16"/>
              </w:rPr>
              <w:t>-116</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40AC5152">
            <w:pPr>
              <w:pStyle w:val="16"/>
              <w:rPr>
                <w:rFonts w:hint="default" w:ascii="Times New Roman" w:hAnsi="Times New Roman" w:cs="Times New Roman"/>
                <w:sz w:val="16"/>
                <w:szCs w:val="16"/>
              </w:rPr>
            </w:pPr>
            <w:r>
              <w:rPr>
                <w:rFonts w:hint="default" w:ascii="Times New Roman" w:hAnsi="Times New Roman" w:cs="Times New Roman"/>
                <w:sz w:val="16"/>
                <w:szCs w:val="16"/>
                <w:lang w:eastAsia="ko-KR"/>
              </w:rPr>
              <w:t>-113</w:t>
            </w:r>
          </w:p>
        </w:tc>
        <w:tc>
          <w:tcPr>
            <w:tcW w:w="416" w:type="pct"/>
            <w:tcBorders>
              <w:top w:val="single" w:color="auto" w:sz="6" w:space="0"/>
              <w:left w:val="single" w:color="auto" w:sz="6" w:space="0"/>
              <w:bottom w:val="single" w:color="auto" w:sz="6" w:space="0"/>
              <w:right w:val="single" w:color="auto" w:sz="6" w:space="0"/>
            </w:tcBorders>
            <w:shd w:val="clear" w:color="auto" w:fill="auto"/>
            <w:vAlign w:val="center"/>
          </w:tcPr>
          <w:p w14:paraId="2DB8835E">
            <w:pPr>
              <w:pStyle w:val="16"/>
              <w:rPr>
                <w:rFonts w:hint="default" w:ascii="Times New Roman" w:hAnsi="Times New Roman" w:cs="Times New Roman"/>
                <w:sz w:val="16"/>
                <w:szCs w:val="16"/>
              </w:rPr>
            </w:pPr>
            <w:r>
              <w:rPr>
                <w:rFonts w:hint="default" w:ascii="Times New Roman" w:hAnsi="Times New Roman" w:cs="Times New Roman"/>
                <w:sz w:val="16"/>
                <w:szCs w:val="16"/>
              </w:rPr>
              <w:t>N/A</w:t>
            </w:r>
          </w:p>
        </w:tc>
        <w:tc>
          <w:tcPr>
            <w:tcW w:w="450" w:type="pct"/>
            <w:tcBorders>
              <w:top w:val="single" w:color="auto" w:sz="6" w:space="0"/>
              <w:left w:val="single" w:color="auto" w:sz="6" w:space="0"/>
              <w:bottom w:val="single" w:color="auto" w:sz="6" w:space="0"/>
              <w:right w:val="single" w:color="auto" w:sz="4" w:space="0"/>
            </w:tcBorders>
            <w:shd w:val="clear" w:color="auto" w:fill="auto"/>
            <w:vAlign w:val="center"/>
          </w:tcPr>
          <w:p w14:paraId="1A94790E">
            <w:pPr>
              <w:pStyle w:val="16"/>
              <w:rPr>
                <w:rFonts w:hint="default" w:ascii="Times New Roman" w:hAnsi="Times New Roman" w:cs="Times New Roman"/>
                <w:sz w:val="16"/>
                <w:szCs w:val="16"/>
              </w:rPr>
            </w:pPr>
            <w:r>
              <w:rPr>
                <w:rFonts w:hint="default" w:ascii="Times New Roman" w:hAnsi="Times New Roman" w:cs="Times New Roman"/>
                <w:sz w:val="16"/>
                <w:szCs w:val="16"/>
              </w:rPr>
              <w:t>-70</w:t>
            </w:r>
          </w:p>
        </w:tc>
      </w:tr>
      <w:tr w14:paraId="0EF45A37">
        <w:tblPrEx>
          <w:tblCellMar>
            <w:top w:w="0" w:type="dxa"/>
            <w:left w:w="28" w:type="dxa"/>
            <w:bottom w:w="0" w:type="dxa"/>
            <w:right w:w="108" w:type="dxa"/>
          </w:tblCellMar>
        </w:tblPrEx>
        <w:trPr>
          <w:jc w:val="center"/>
        </w:trPr>
        <w:tc>
          <w:tcPr>
            <w:tcW w:w="334" w:type="pct"/>
            <w:tcBorders>
              <w:left w:val="single" w:color="auto" w:sz="4" w:space="0"/>
              <w:right w:val="single" w:color="auto" w:sz="4" w:space="0"/>
            </w:tcBorders>
            <w:shd w:val="clear" w:color="auto" w:fill="auto"/>
            <w:vAlign w:val="center"/>
          </w:tcPr>
          <w:p w14:paraId="64B562DA">
            <w:pPr>
              <w:pStyle w:val="16"/>
              <w:rPr>
                <w:rFonts w:hint="default" w:ascii="Times New Roman" w:hAnsi="Times New Roman" w:cs="Times New Roman"/>
                <w:sz w:val="16"/>
                <w:szCs w:val="16"/>
              </w:rPr>
            </w:pPr>
          </w:p>
        </w:tc>
        <w:tc>
          <w:tcPr>
            <w:tcW w:w="334" w:type="pct"/>
            <w:tcBorders>
              <w:left w:val="single" w:color="auto" w:sz="4" w:space="0"/>
              <w:right w:val="single" w:color="auto" w:sz="4" w:space="0"/>
            </w:tcBorders>
            <w:shd w:val="clear" w:color="auto" w:fill="auto"/>
            <w:vAlign w:val="center"/>
          </w:tcPr>
          <w:p w14:paraId="1D9E40D4">
            <w:pPr>
              <w:pStyle w:val="16"/>
              <w:rPr>
                <w:rFonts w:hint="default" w:ascii="Times New Roman" w:hAnsi="Times New Roman" w:cs="Times New Roman"/>
                <w:sz w:val="16"/>
                <w:szCs w:val="16"/>
              </w:rPr>
            </w:pPr>
          </w:p>
        </w:tc>
        <w:tc>
          <w:tcPr>
            <w:tcW w:w="334" w:type="pct"/>
            <w:tcBorders>
              <w:left w:val="single" w:color="auto" w:sz="4" w:space="0"/>
              <w:right w:val="single" w:color="auto" w:sz="4" w:space="0"/>
            </w:tcBorders>
            <w:shd w:val="clear" w:color="auto" w:fill="auto"/>
            <w:vAlign w:val="center"/>
          </w:tcPr>
          <w:p w14:paraId="5B29D39D">
            <w:pPr>
              <w:pStyle w:val="16"/>
              <w:rPr>
                <w:rFonts w:hint="default" w:ascii="Times New Roman" w:hAnsi="Times New Roman" w:cs="Times New Roman"/>
                <w:sz w:val="16"/>
                <w:szCs w:val="16"/>
              </w:rPr>
            </w:pPr>
          </w:p>
        </w:tc>
        <w:tc>
          <w:tcPr>
            <w:tcW w:w="334" w:type="pct"/>
            <w:tcBorders>
              <w:left w:val="single" w:color="auto" w:sz="4" w:space="0"/>
              <w:right w:val="single" w:color="auto" w:sz="4" w:space="0"/>
            </w:tcBorders>
            <w:shd w:val="clear" w:color="auto" w:fill="auto"/>
            <w:vAlign w:val="center"/>
          </w:tcPr>
          <w:p w14:paraId="6EA81CA0">
            <w:pPr>
              <w:pStyle w:val="16"/>
              <w:rPr>
                <w:rFonts w:hint="default" w:ascii="Times New Roman" w:hAnsi="Times New Roman" w:cs="Times New Roman"/>
                <w:sz w:val="16"/>
                <w:szCs w:val="16"/>
              </w:rPr>
            </w:pPr>
          </w:p>
        </w:tc>
        <w:tc>
          <w:tcPr>
            <w:tcW w:w="338" w:type="pct"/>
            <w:tcBorders>
              <w:left w:val="single" w:color="auto" w:sz="4" w:space="0"/>
              <w:right w:val="single" w:color="auto" w:sz="4" w:space="0"/>
            </w:tcBorders>
            <w:shd w:val="clear" w:color="auto" w:fill="auto"/>
            <w:vAlign w:val="center"/>
          </w:tcPr>
          <w:p w14:paraId="425F2A39">
            <w:pPr>
              <w:pStyle w:val="16"/>
              <w:rPr>
                <w:rFonts w:hint="default" w:ascii="Times New Roman" w:hAnsi="Times New Roman" w:cs="Times New Roman"/>
                <w:sz w:val="16"/>
                <w:szCs w:val="16"/>
              </w:rPr>
            </w:pPr>
          </w:p>
        </w:tc>
        <w:tc>
          <w:tcPr>
            <w:tcW w:w="379" w:type="pct"/>
            <w:tcBorders>
              <w:left w:val="single" w:color="auto" w:sz="4" w:space="0"/>
              <w:right w:val="single" w:color="auto" w:sz="4" w:space="0"/>
            </w:tcBorders>
            <w:shd w:val="clear" w:color="auto" w:fill="auto"/>
            <w:vAlign w:val="center"/>
          </w:tcPr>
          <w:p w14:paraId="57E3AF89">
            <w:pPr>
              <w:pStyle w:val="16"/>
              <w:rPr>
                <w:rFonts w:hint="default" w:ascii="Times New Roman" w:hAnsi="Times New Roman" w:cs="Times New Roman"/>
                <w:sz w:val="16"/>
                <w:szCs w:val="16"/>
              </w:rPr>
            </w:pPr>
          </w:p>
        </w:tc>
        <w:tc>
          <w:tcPr>
            <w:tcW w:w="307" w:type="pct"/>
            <w:tcBorders>
              <w:left w:val="single" w:color="auto" w:sz="4" w:space="0"/>
              <w:right w:val="single" w:color="auto" w:sz="4" w:space="0"/>
            </w:tcBorders>
            <w:shd w:val="clear" w:color="auto" w:fill="auto"/>
            <w:vAlign w:val="center"/>
          </w:tcPr>
          <w:p w14:paraId="54D20B03">
            <w:pPr>
              <w:pStyle w:val="16"/>
              <w:rPr>
                <w:rFonts w:hint="default" w:ascii="Times New Roman" w:hAnsi="Times New Roman" w:cs="Times New Roman"/>
                <w:sz w:val="16"/>
                <w:szCs w:val="16"/>
              </w:rPr>
            </w:pPr>
          </w:p>
        </w:tc>
        <w:tc>
          <w:tcPr>
            <w:tcW w:w="710" w:type="pct"/>
            <w:tcBorders>
              <w:top w:val="single" w:color="auto" w:sz="6" w:space="0"/>
              <w:left w:val="single" w:color="auto" w:sz="4" w:space="0"/>
              <w:bottom w:val="single" w:color="auto" w:sz="6" w:space="0"/>
              <w:right w:val="single" w:color="auto" w:sz="4" w:space="0"/>
            </w:tcBorders>
            <w:shd w:val="clear" w:color="auto" w:fill="auto"/>
            <w:vAlign w:val="center"/>
          </w:tcPr>
          <w:p w14:paraId="18FD4FAE">
            <w:pPr>
              <w:pStyle w:val="16"/>
              <w:rPr>
                <w:rFonts w:hint="default" w:ascii="Times New Roman" w:hAnsi="Times New Roman" w:cs="Times New Roman"/>
                <w:sz w:val="16"/>
                <w:szCs w:val="16"/>
              </w:rPr>
            </w:pPr>
            <w:r>
              <w:rPr>
                <w:rFonts w:hint="default" w:ascii="Times New Roman" w:hAnsi="Times New Roman" w:cs="Times New Roman"/>
                <w:sz w:val="16"/>
                <w:szCs w:val="16"/>
              </w:rPr>
              <w:t>NR_TDD_FR1_D</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48E674AB">
            <w:pPr>
              <w:pStyle w:val="16"/>
              <w:rPr>
                <w:rFonts w:hint="default" w:ascii="Times New Roman" w:hAnsi="Times New Roman" w:cs="Times New Roman"/>
                <w:sz w:val="16"/>
                <w:szCs w:val="16"/>
              </w:rPr>
            </w:pPr>
            <w:r>
              <w:rPr>
                <w:rFonts w:hint="default" w:ascii="Times New Roman" w:hAnsi="Times New Roman" w:cs="Times New Roman"/>
                <w:sz w:val="16"/>
                <w:szCs w:val="16"/>
              </w:rPr>
              <w:t>-118.5</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4C168F46">
            <w:pPr>
              <w:pStyle w:val="16"/>
              <w:rPr>
                <w:rFonts w:hint="default" w:ascii="Times New Roman" w:hAnsi="Times New Roman" w:cs="Times New Roman"/>
                <w:sz w:val="16"/>
                <w:szCs w:val="16"/>
              </w:rPr>
            </w:pPr>
            <w:r>
              <w:rPr>
                <w:rFonts w:hint="default" w:ascii="Times New Roman" w:hAnsi="Times New Roman" w:cs="Times New Roman"/>
                <w:sz w:val="16"/>
                <w:szCs w:val="16"/>
              </w:rPr>
              <w:t>-115.5</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18835164">
            <w:pPr>
              <w:pStyle w:val="16"/>
              <w:rPr>
                <w:rFonts w:hint="default" w:ascii="Times New Roman" w:hAnsi="Times New Roman" w:cs="Times New Roman"/>
                <w:sz w:val="16"/>
                <w:szCs w:val="16"/>
              </w:rPr>
            </w:pPr>
            <w:r>
              <w:rPr>
                <w:rFonts w:hint="default" w:ascii="Times New Roman" w:hAnsi="Times New Roman" w:cs="Times New Roman"/>
                <w:sz w:val="16"/>
                <w:szCs w:val="16"/>
                <w:lang w:eastAsia="ko-KR"/>
              </w:rPr>
              <w:t>-112.5</w:t>
            </w:r>
          </w:p>
        </w:tc>
        <w:tc>
          <w:tcPr>
            <w:tcW w:w="416" w:type="pct"/>
            <w:tcBorders>
              <w:top w:val="single" w:color="auto" w:sz="6" w:space="0"/>
              <w:left w:val="single" w:color="auto" w:sz="6" w:space="0"/>
              <w:bottom w:val="single" w:color="auto" w:sz="6" w:space="0"/>
              <w:right w:val="single" w:color="auto" w:sz="6" w:space="0"/>
            </w:tcBorders>
            <w:shd w:val="clear" w:color="auto" w:fill="auto"/>
            <w:vAlign w:val="center"/>
          </w:tcPr>
          <w:p w14:paraId="00D61E75">
            <w:pPr>
              <w:pStyle w:val="16"/>
              <w:rPr>
                <w:rFonts w:hint="default" w:ascii="Times New Roman" w:hAnsi="Times New Roman" w:cs="Times New Roman"/>
                <w:sz w:val="16"/>
                <w:szCs w:val="16"/>
              </w:rPr>
            </w:pPr>
            <w:r>
              <w:rPr>
                <w:rFonts w:hint="default" w:ascii="Times New Roman" w:hAnsi="Times New Roman" w:cs="Times New Roman"/>
                <w:sz w:val="16"/>
                <w:szCs w:val="16"/>
              </w:rPr>
              <w:t>N/A</w:t>
            </w:r>
          </w:p>
        </w:tc>
        <w:tc>
          <w:tcPr>
            <w:tcW w:w="450" w:type="pct"/>
            <w:tcBorders>
              <w:top w:val="single" w:color="auto" w:sz="6" w:space="0"/>
              <w:left w:val="single" w:color="auto" w:sz="6" w:space="0"/>
              <w:bottom w:val="single" w:color="auto" w:sz="6" w:space="0"/>
              <w:right w:val="single" w:color="auto" w:sz="4" w:space="0"/>
            </w:tcBorders>
            <w:shd w:val="clear" w:color="auto" w:fill="auto"/>
            <w:vAlign w:val="center"/>
          </w:tcPr>
          <w:p w14:paraId="315B19AA">
            <w:pPr>
              <w:pStyle w:val="16"/>
              <w:rPr>
                <w:rFonts w:hint="default" w:ascii="Times New Roman" w:hAnsi="Times New Roman" w:cs="Times New Roman"/>
                <w:sz w:val="16"/>
                <w:szCs w:val="16"/>
              </w:rPr>
            </w:pPr>
            <w:r>
              <w:rPr>
                <w:rFonts w:hint="default" w:ascii="Times New Roman" w:hAnsi="Times New Roman" w:cs="Times New Roman"/>
                <w:sz w:val="16"/>
                <w:szCs w:val="16"/>
              </w:rPr>
              <w:t>-70</w:t>
            </w:r>
          </w:p>
        </w:tc>
      </w:tr>
      <w:tr w14:paraId="488ED1CA">
        <w:tblPrEx>
          <w:tblCellMar>
            <w:top w:w="0" w:type="dxa"/>
            <w:left w:w="28" w:type="dxa"/>
            <w:bottom w:w="0" w:type="dxa"/>
            <w:right w:w="108" w:type="dxa"/>
          </w:tblCellMar>
        </w:tblPrEx>
        <w:trPr>
          <w:jc w:val="center"/>
        </w:trPr>
        <w:tc>
          <w:tcPr>
            <w:tcW w:w="334" w:type="pct"/>
            <w:tcBorders>
              <w:left w:val="single" w:color="auto" w:sz="4" w:space="0"/>
              <w:bottom w:val="single" w:color="auto" w:sz="4" w:space="0"/>
              <w:right w:val="single" w:color="auto" w:sz="4" w:space="0"/>
            </w:tcBorders>
            <w:shd w:val="clear" w:color="auto" w:fill="auto"/>
            <w:vAlign w:val="center"/>
          </w:tcPr>
          <w:p w14:paraId="4F35AB96">
            <w:pPr>
              <w:pStyle w:val="16"/>
              <w:rPr>
                <w:rFonts w:hint="default" w:ascii="Times New Roman" w:hAnsi="Times New Roman" w:cs="Times New Roman"/>
                <w:sz w:val="16"/>
                <w:szCs w:val="16"/>
              </w:rPr>
            </w:pPr>
          </w:p>
        </w:tc>
        <w:tc>
          <w:tcPr>
            <w:tcW w:w="334" w:type="pct"/>
            <w:tcBorders>
              <w:left w:val="single" w:color="auto" w:sz="4" w:space="0"/>
              <w:bottom w:val="single" w:color="auto" w:sz="4" w:space="0"/>
              <w:right w:val="single" w:color="auto" w:sz="4" w:space="0"/>
            </w:tcBorders>
            <w:shd w:val="clear" w:color="auto" w:fill="auto"/>
            <w:vAlign w:val="center"/>
          </w:tcPr>
          <w:p w14:paraId="59047325">
            <w:pPr>
              <w:pStyle w:val="16"/>
              <w:rPr>
                <w:rFonts w:hint="default" w:ascii="Times New Roman" w:hAnsi="Times New Roman" w:cs="Times New Roman"/>
                <w:sz w:val="16"/>
                <w:szCs w:val="16"/>
              </w:rPr>
            </w:pPr>
          </w:p>
        </w:tc>
        <w:tc>
          <w:tcPr>
            <w:tcW w:w="334" w:type="pct"/>
            <w:tcBorders>
              <w:left w:val="single" w:color="auto" w:sz="4" w:space="0"/>
              <w:bottom w:val="single" w:color="auto" w:sz="4" w:space="0"/>
              <w:right w:val="single" w:color="auto" w:sz="4" w:space="0"/>
            </w:tcBorders>
            <w:shd w:val="clear" w:color="auto" w:fill="auto"/>
            <w:vAlign w:val="center"/>
          </w:tcPr>
          <w:p w14:paraId="1AC225EA">
            <w:pPr>
              <w:pStyle w:val="16"/>
              <w:rPr>
                <w:rFonts w:hint="default" w:ascii="Times New Roman" w:hAnsi="Times New Roman" w:cs="Times New Roman"/>
                <w:sz w:val="16"/>
                <w:szCs w:val="16"/>
              </w:rPr>
            </w:pPr>
          </w:p>
        </w:tc>
        <w:tc>
          <w:tcPr>
            <w:tcW w:w="334" w:type="pct"/>
            <w:tcBorders>
              <w:left w:val="single" w:color="auto" w:sz="4" w:space="0"/>
              <w:bottom w:val="single" w:color="auto" w:sz="4" w:space="0"/>
              <w:right w:val="single" w:color="auto" w:sz="4" w:space="0"/>
            </w:tcBorders>
            <w:shd w:val="clear" w:color="auto" w:fill="auto"/>
            <w:vAlign w:val="center"/>
          </w:tcPr>
          <w:p w14:paraId="253542D3">
            <w:pPr>
              <w:pStyle w:val="16"/>
              <w:rPr>
                <w:rFonts w:hint="default" w:ascii="Times New Roman" w:hAnsi="Times New Roman" w:cs="Times New Roman"/>
                <w:sz w:val="16"/>
                <w:szCs w:val="16"/>
              </w:rPr>
            </w:pPr>
          </w:p>
        </w:tc>
        <w:tc>
          <w:tcPr>
            <w:tcW w:w="338" w:type="pct"/>
            <w:tcBorders>
              <w:left w:val="single" w:color="auto" w:sz="4" w:space="0"/>
              <w:bottom w:val="single" w:color="auto" w:sz="4" w:space="0"/>
              <w:right w:val="single" w:color="auto" w:sz="4" w:space="0"/>
            </w:tcBorders>
            <w:shd w:val="clear" w:color="auto" w:fill="auto"/>
            <w:vAlign w:val="center"/>
          </w:tcPr>
          <w:p w14:paraId="075150B4">
            <w:pPr>
              <w:pStyle w:val="16"/>
              <w:rPr>
                <w:rFonts w:hint="default" w:ascii="Times New Roman" w:hAnsi="Times New Roman" w:cs="Times New Roman"/>
                <w:sz w:val="16"/>
                <w:szCs w:val="16"/>
              </w:rPr>
            </w:pPr>
          </w:p>
        </w:tc>
        <w:tc>
          <w:tcPr>
            <w:tcW w:w="379" w:type="pct"/>
            <w:tcBorders>
              <w:left w:val="single" w:color="auto" w:sz="4" w:space="0"/>
              <w:bottom w:val="single" w:color="auto" w:sz="4" w:space="0"/>
              <w:right w:val="single" w:color="auto" w:sz="4" w:space="0"/>
            </w:tcBorders>
            <w:shd w:val="clear" w:color="auto" w:fill="auto"/>
            <w:vAlign w:val="center"/>
          </w:tcPr>
          <w:p w14:paraId="5591B7C5">
            <w:pPr>
              <w:pStyle w:val="16"/>
              <w:rPr>
                <w:rFonts w:hint="default" w:ascii="Times New Roman" w:hAnsi="Times New Roman" w:cs="Times New Roman"/>
                <w:sz w:val="16"/>
                <w:szCs w:val="16"/>
              </w:rPr>
            </w:pPr>
          </w:p>
        </w:tc>
        <w:tc>
          <w:tcPr>
            <w:tcW w:w="307" w:type="pct"/>
            <w:tcBorders>
              <w:left w:val="single" w:color="auto" w:sz="4" w:space="0"/>
              <w:bottom w:val="single" w:color="auto" w:sz="4" w:space="0"/>
              <w:right w:val="single" w:color="auto" w:sz="4" w:space="0"/>
            </w:tcBorders>
            <w:shd w:val="clear" w:color="auto" w:fill="auto"/>
            <w:vAlign w:val="center"/>
          </w:tcPr>
          <w:p w14:paraId="5243EB1D">
            <w:pPr>
              <w:pStyle w:val="16"/>
              <w:rPr>
                <w:rFonts w:hint="default" w:ascii="Times New Roman" w:hAnsi="Times New Roman" w:cs="Times New Roman"/>
                <w:sz w:val="16"/>
                <w:szCs w:val="16"/>
              </w:rPr>
            </w:pPr>
          </w:p>
        </w:tc>
        <w:tc>
          <w:tcPr>
            <w:tcW w:w="710" w:type="pct"/>
            <w:tcBorders>
              <w:top w:val="single" w:color="auto" w:sz="6" w:space="0"/>
              <w:left w:val="single" w:color="auto" w:sz="4" w:space="0"/>
              <w:bottom w:val="single" w:color="auto" w:sz="6" w:space="0"/>
              <w:right w:val="single" w:color="auto" w:sz="4" w:space="0"/>
            </w:tcBorders>
            <w:shd w:val="clear" w:color="auto" w:fill="auto"/>
            <w:vAlign w:val="center"/>
          </w:tcPr>
          <w:p w14:paraId="129F9C9E">
            <w:pPr>
              <w:pStyle w:val="16"/>
              <w:rPr>
                <w:rFonts w:hint="default" w:ascii="Times New Roman" w:hAnsi="Times New Roman" w:cs="Times New Roman"/>
                <w:sz w:val="16"/>
                <w:szCs w:val="16"/>
              </w:rPr>
            </w:pPr>
            <w:r>
              <w:rPr>
                <w:rFonts w:hint="default" w:ascii="Times New Roman" w:hAnsi="Times New Roman" w:cs="Times New Roman"/>
                <w:sz w:val="16"/>
                <w:szCs w:val="16"/>
              </w:rPr>
              <w:t>NR_TDD_FR1_E</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10480E27">
            <w:pPr>
              <w:pStyle w:val="16"/>
              <w:rPr>
                <w:rFonts w:hint="default" w:ascii="Times New Roman" w:hAnsi="Times New Roman" w:cs="Times New Roman"/>
                <w:sz w:val="16"/>
                <w:szCs w:val="16"/>
              </w:rPr>
            </w:pPr>
            <w:r>
              <w:rPr>
                <w:rFonts w:hint="default" w:ascii="Times New Roman" w:hAnsi="Times New Roman" w:cs="Times New Roman"/>
                <w:sz w:val="16"/>
                <w:szCs w:val="16"/>
              </w:rPr>
              <w:t>-118</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37539CD9">
            <w:pPr>
              <w:pStyle w:val="16"/>
              <w:rPr>
                <w:rFonts w:hint="default" w:ascii="Times New Roman" w:hAnsi="Times New Roman" w:cs="Times New Roman"/>
                <w:sz w:val="16"/>
                <w:szCs w:val="16"/>
              </w:rPr>
            </w:pPr>
            <w:r>
              <w:rPr>
                <w:rFonts w:hint="default" w:ascii="Times New Roman" w:hAnsi="Times New Roman" w:cs="Times New Roman"/>
                <w:sz w:val="16"/>
                <w:szCs w:val="16"/>
              </w:rPr>
              <w:t>-115</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1DB510E4">
            <w:pPr>
              <w:pStyle w:val="16"/>
              <w:rPr>
                <w:rFonts w:hint="default" w:ascii="Times New Roman" w:hAnsi="Times New Roman" w:cs="Times New Roman"/>
                <w:sz w:val="16"/>
                <w:szCs w:val="16"/>
              </w:rPr>
            </w:pPr>
            <w:r>
              <w:rPr>
                <w:rFonts w:hint="default" w:ascii="Times New Roman" w:hAnsi="Times New Roman" w:cs="Times New Roman"/>
                <w:sz w:val="16"/>
                <w:szCs w:val="16"/>
                <w:lang w:eastAsia="ko-KR"/>
              </w:rPr>
              <w:t>-112</w:t>
            </w:r>
          </w:p>
        </w:tc>
        <w:tc>
          <w:tcPr>
            <w:tcW w:w="416" w:type="pct"/>
            <w:tcBorders>
              <w:top w:val="single" w:color="auto" w:sz="6" w:space="0"/>
              <w:left w:val="single" w:color="auto" w:sz="6" w:space="0"/>
              <w:bottom w:val="single" w:color="auto" w:sz="6" w:space="0"/>
              <w:right w:val="single" w:color="auto" w:sz="6" w:space="0"/>
            </w:tcBorders>
            <w:shd w:val="clear" w:color="auto" w:fill="auto"/>
            <w:vAlign w:val="center"/>
          </w:tcPr>
          <w:p w14:paraId="4655CF6C">
            <w:pPr>
              <w:pStyle w:val="16"/>
              <w:rPr>
                <w:rFonts w:hint="default" w:ascii="Times New Roman" w:hAnsi="Times New Roman" w:cs="Times New Roman"/>
                <w:sz w:val="16"/>
                <w:szCs w:val="16"/>
              </w:rPr>
            </w:pPr>
            <w:r>
              <w:rPr>
                <w:rFonts w:hint="default" w:ascii="Times New Roman" w:hAnsi="Times New Roman" w:cs="Times New Roman"/>
                <w:sz w:val="16"/>
                <w:szCs w:val="16"/>
              </w:rPr>
              <w:t>N/A</w:t>
            </w:r>
          </w:p>
        </w:tc>
        <w:tc>
          <w:tcPr>
            <w:tcW w:w="450" w:type="pct"/>
            <w:tcBorders>
              <w:top w:val="single" w:color="auto" w:sz="6" w:space="0"/>
              <w:left w:val="single" w:color="auto" w:sz="6" w:space="0"/>
              <w:bottom w:val="single" w:color="auto" w:sz="6" w:space="0"/>
              <w:right w:val="single" w:color="auto" w:sz="4" w:space="0"/>
            </w:tcBorders>
            <w:shd w:val="clear" w:color="auto" w:fill="auto"/>
            <w:vAlign w:val="center"/>
          </w:tcPr>
          <w:p w14:paraId="65033ED8">
            <w:pPr>
              <w:pStyle w:val="16"/>
              <w:rPr>
                <w:rFonts w:hint="default" w:ascii="Times New Roman" w:hAnsi="Times New Roman" w:cs="Times New Roman"/>
                <w:sz w:val="16"/>
                <w:szCs w:val="16"/>
              </w:rPr>
            </w:pPr>
            <w:r>
              <w:rPr>
                <w:rFonts w:hint="default" w:ascii="Times New Roman" w:hAnsi="Times New Roman" w:cs="Times New Roman"/>
                <w:sz w:val="16"/>
                <w:szCs w:val="16"/>
              </w:rPr>
              <w:t>-70</w:t>
            </w:r>
          </w:p>
        </w:tc>
      </w:tr>
      <w:tr w14:paraId="497726CB">
        <w:tblPrEx>
          <w:tblCellMar>
            <w:top w:w="0" w:type="dxa"/>
            <w:left w:w="28" w:type="dxa"/>
            <w:bottom w:w="0" w:type="dxa"/>
            <w:right w:w="108" w:type="dxa"/>
          </w:tblCellMar>
        </w:tblPrEx>
        <w:trPr>
          <w:jc w:val="center"/>
        </w:trPr>
        <w:tc>
          <w:tcPr>
            <w:tcW w:w="334" w:type="pct"/>
            <w:tcBorders>
              <w:top w:val="single" w:color="auto" w:sz="4" w:space="0"/>
              <w:left w:val="single" w:color="auto" w:sz="6" w:space="0"/>
              <w:bottom w:val="single" w:color="auto" w:sz="6" w:space="0"/>
              <w:right w:val="single" w:color="auto" w:sz="6" w:space="0"/>
            </w:tcBorders>
            <w:shd w:val="clear" w:color="auto" w:fill="auto"/>
          </w:tcPr>
          <w:p w14:paraId="2A130CBF">
            <w:pPr>
              <w:pStyle w:val="16"/>
              <w:rPr>
                <w:rFonts w:hint="default" w:ascii="Times New Roman" w:hAnsi="Times New Roman" w:cs="Times New Roman"/>
                <w:sz w:val="16"/>
                <w:szCs w:val="16"/>
                <w:lang w:eastAsia="zh-CN"/>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6.5</w:t>
            </w:r>
          </w:p>
        </w:tc>
        <w:tc>
          <w:tcPr>
            <w:tcW w:w="334" w:type="pct"/>
            <w:tcBorders>
              <w:top w:val="single" w:color="auto" w:sz="4" w:space="0"/>
              <w:left w:val="single" w:color="auto" w:sz="6" w:space="0"/>
              <w:bottom w:val="single" w:color="auto" w:sz="6" w:space="0"/>
              <w:right w:val="single" w:color="auto" w:sz="6" w:space="0"/>
            </w:tcBorders>
            <w:shd w:val="clear" w:color="auto" w:fill="auto"/>
          </w:tcPr>
          <w:p w14:paraId="37DCD779">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7</w:t>
            </w:r>
          </w:p>
        </w:tc>
        <w:tc>
          <w:tcPr>
            <w:tcW w:w="334" w:type="pct"/>
            <w:tcBorders>
              <w:top w:val="single" w:color="auto" w:sz="4" w:space="0"/>
              <w:left w:val="single" w:color="auto" w:sz="6" w:space="0"/>
              <w:bottom w:val="single" w:color="auto" w:sz="6" w:space="0"/>
              <w:right w:val="single" w:color="auto" w:sz="6" w:space="0"/>
            </w:tcBorders>
            <w:shd w:val="clear" w:color="auto" w:fill="auto"/>
          </w:tcPr>
          <w:p w14:paraId="2E431FDD">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8.5</w:t>
            </w:r>
          </w:p>
        </w:tc>
        <w:tc>
          <w:tcPr>
            <w:tcW w:w="334" w:type="pct"/>
            <w:tcBorders>
              <w:top w:val="single" w:color="auto" w:sz="4" w:space="0"/>
              <w:left w:val="single" w:color="auto" w:sz="6" w:space="0"/>
              <w:bottom w:val="single" w:color="auto" w:sz="6" w:space="0"/>
              <w:right w:val="single" w:color="auto" w:sz="6" w:space="0"/>
            </w:tcBorders>
            <w:shd w:val="clear" w:color="auto" w:fill="auto"/>
          </w:tcPr>
          <w:p w14:paraId="602A3222">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9.5</w:t>
            </w:r>
          </w:p>
        </w:tc>
        <w:tc>
          <w:tcPr>
            <w:tcW w:w="338" w:type="pct"/>
            <w:tcBorders>
              <w:top w:val="single" w:color="auto" w:sz="4" w:space="0"/>
              <w:left w:val="single" w:color="auto" w:sz="6" w:space="0"/>
              <w:bottom w:val="single" w:color="auto" w:sz="6" w:space="0"/>
              <w:right w:val="single" w:color="auto" w:sz="6" w:space="0"/>
            </w:tcBorders>
            <w:shd w:val="clear" w:color="auto" w:fill="auto"/>
          </w:tcPr>
          <w:p w14:paraId="4DD21BD1">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10</w:t>
            </w:r>
          </w:p>
        </w:tc>
        <w:tc>
          <w:tcPr>
            <w:tcW w:w="379" w:type="pct"/>
            <w:tcBorders>
              <w:top w:val="single" w:color="auto" w:sz="4" w:space="0"/>
              <w:left w:val="single" w:color="auto" w:sz="6" w:space="0"/>
              <w:bottom w:val="single" w:color="auto" w:sz="6" w:space="0"/>
              <w:right w:val="single" w:color="auto" w:sz="6" w:space="0"/>
            </w:tcBorders>
            <w:shd w:val="clear" w:color="auto" w:fill="auto"/>
          </w:tcPr>
          <w:p w14:paraId="1081F61F">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11.5</w:t>
            </w:r>
          </w:p>
        </w:tc>
        <w:tc>
          <w:tcPr>
            <w:tcW w:w="307" w:type="pct"/>
            <w:tcBorders>
              <w:top w:val="single" w:color="auto" w:sz="4" w:space="0"/>
              <w:left w:val="single" w:color="auto" w:sz="6" w:space="0"/>
              <w:bottom w:val="single" w:color="auto" w:sz="6" w:space="0"/>
              <w:right w:val="single" w:color="auto" w:sz="6" w:space="0"/>
            </w:tcBorders>
            <w:shd w:val="clear" w:color="auto" w:fill="auto"/>
          </w:tcPr>
          <w:p w14:paraId="64CBCAE4">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3"/>
            </w:r>
            <w:r>
              <w:rPr>
                <w:rFonts w:hint="default" w:ascii="Times New Roman" w:hAnsi="Times New Roman" w:cs="Times New Roman"/>
                <w:sz w:val="16"/>
                <w:szCs w:val="16"/>
              </w:rPr>
              <w:t>1</w:t>
            </w:r>
          </w:p>
        </w:tc>
        <w:tc>
          <w:tcPr>
            <w:tcW w:w="710" w:type="pct"/>
            <w:tcBorders>
              <w:top w:val="single" w:color="auto" w:sz="6" w:space="0"/>
              <w:left w:val="single" w:color="auto" w:sz="6" w:space="0"/>
              <w:bottom w:val="single" w:color="auto" w:sz="6" w:space="0"/>
              <w:right w:val="single" w:color="auto" w:sz="4" w:space="0"/>
            </w:tcBorders>
            <w:shd w:val="clear" w:color="auto" w:fill="auto"/>
          </w:tcPr>
          <w:p w14:paraId="79337F8A">
            <w:pPr>
              <w:pStyle w:val="16"/>
              <w:rPr>
                <w:rFonts w:hint="default" w:ascii="Times New Roman" w:hAnsi="Times New Roman" w:cs="Times New Roman"/>
                <w:sz w:val="16"/>
                <w:szCs w:val="16"/>
              </w:rPr>
            </w:pPr>
            <w:r>
              <w:rPr>
                <w:rFonts w:hint="default" w:ascii="Times New Roman" w:hAnsi="Times New Roman" w:cs="Times New Roman"/>
                <w:sz w:val="16"/>
                <w:szCs w:val="16"/>
              </w:rPr>
              <w:t>NR_TDD_FR1_A,</w:t>
            </w:r>
          </w:p>
          <w:p w14:paraId="47B0D4DB">
            <w:pPr>
              <w:pStyle w:val="16"/>
              <w:rPr>
                <w:rFonts w:hint="default" w:ascii="Times New Roman" w:hAnsi="Times New Roman" w:cs="Times New Roman"/>
                <w:sz w:val="16"/>
                <w:szCs w:val="16"/>
              </w:rPr>
            </w:pPr>
            <w:r>
              <w:rPr>
                <w:rFonts w:hint="default" w:ascii="Times New Roman" w:hAnsi="Times New Roman" w:cs="Times New Roman"/>
                <w:sz w:val="16"/>
                <w:szCs w:val="16"/>
              </w:rPr>
              <w:t>NR_TDD_FR1_C, NR_TDD_FR1_D, NR_TDD_FR1_E</w:t>
            </w:r>
          </w:p>
        </w:tc>
        <w:tc>
          <w:tcPr>
            <w:tcW w:w="354" w:type="pct"/>
            <w:tcBorders>
              <w:top w:val="single" w:color="auto" w:sz="6" w:space="0"/>
              <w:left w:val="single" w:color="auto" w:sz="4" w:space="0"/>
              <w:bottom w:val="single" w:color="auto" w:sz="4" w:space="0"/>
              <w:right w:val="single" w:color="auto" w:sz="6" w:space="0"/>
            </w:tcBorders>
            <w:shd w:val="clear" w:color="auto" w:fill="auto"/>
          </w:tcPr>
          <w:p w14:paraId="65E2BBFC">
            <w:pPr>
              <w:pStyle w:val="16"/>
              <w:rPr>
                <w:rFonts w:hint="default" w:ascii="Times New Roman" w:hAnsi="Times New Roman" w:cs="Times New Roman"/>
                <w:sz w:val="16"/>
                <w:szCs w:val="16"/>
              </w:rPr>
            </w:pPr>
            <w:r>
              <w:rPr>
                <w:rFonts w:hint="default" w:ascii="Times New Roman" w:hAnsi="Times New Roman" w:cs="Times New Roman"/>
                <w:sz w:val="16"/>
                <w:szCs w:val="16"/>
              </w:rPr>
              <w:t>N/A</w:t>
            </w:r>
          </w:p>
        </w:tc>
        <w:tc>
          <w:tcPr>
            <w:tcW w:w="354" w:type="pct"/>
            <w:tcBorders>
              <w:top w:val="single" w:color="auto" w:sz="6" w:space="0"/>
              <w:left w:val="single" w:color="auto" w:sz="4" w:space="0"/>
              <w:bottom w:val="single" w:color="auto" w:sz="4" w:space="0"/>
              <w:right w:val="single" w:color="auto" w:sz="6" w:space="0"/>
            </w:tcBorders>
            <w:shd w:val="clear" w:color="auto" w:fill="auto"/>
          </w:tcPr>
          <w:p w14:paraId="46529800">
            <w:pPr>
              <w:pStyle w:val="16"/>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N/A</w:t>
            </w:r>
          </w:p>
        </w:tc>
        <w:tc>
          <w:tcPr>
            <w:tcW w:w="354" w:type="pct"/>
            <w:tcBorders>
              <w:top w:val="single" w:color="auto" w:sz="6" w:space="0"/>
              <w:left w:val="single" w:color="auto" w:sz="4" w:space="0"/>
              <w:bottom w:val="single" w:color="auto" w:sz="4" w:space="0"/>
              <w:right w:val="single" w:color="auto" w:sz="6" w:space="0"/>
            </w:tcBorders>
            <w:shd w:val="clear" w:color="auto" w:fill="auto"/>
          </w:tcPr>
          <w:p w14:paraId="699E0F97">
            <w:pPr>
              <w:pStyle w:val="16"/>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N/A</w:t>
            </w:r>
          </w:p>
        </w:tc>
        <w:tc>
          <w:tcPr>
            <w:tcW w:w="416" w:type="pct"/>
            <w:tcBorders>
              <w:top w:val="single" w:color="auto" w:sz="6" w:space="0"/>
              <w:left w:val="single" w:color="auto" w:sz="6" w:space="0"/>
              <w:bottom w:val="single" w:color="auto" w:sz="4" w:space="0"/>
              <w:right w:val="single" w:color="auto" w:sz="6" w:space="0"/>
            </w:tcBorders>
            <w:shd w:val="clear" w:color="auto" w:fill="auto"/>
          </w:tcPr>
          <w:p w14:paraId="6FC8FAA8">
            <w:pPr>
              <w:pStyle w:val="16"/>
              <w:rPr>
                <w:rFonts w:hint="default" w:ascii="Times New Roman" w:hAnsi="Times New Roman" w:cs="Times New Roman"/>
                <w:sz w:val="16"/>
                <w:szCs w:val="16"/>
              </w:rPr>
            </w:pPr>
            <w:r>
              <w:rPr>
                <w:rFonts w:hint="default" w:ascii="Times New Roman" w:hAnsi="Times New Roman" w:cs="Times New Roman"/>
                <w:sz w:val="16"/>
                <w:szCs w:val="16"/>
              </w:rPr>
              <w:t>-70</w:t>
            </w:r>
          </w:p>
        </w:tc>
        <w:tc>
          <w:tcPr>
            <w:tcW w:w="450" w:type="pct"/>
            <w:tcBorders>
              <w:top w:val="single" w:color="auto" w:sz="6" w:space="0"/>
              <w:left w:val="single" w:color="auto" w:sz="6" w:space="0"/>
              <w:bottom w:val="single" w:color="auto" w:sz="4" w:space="0"/>
              <w:right w:val="single" w:color="auto" w:sz="4" w:space="0"/>
            </w:tcBorders>
            <w:shd w:val="clear" w:color="auto" w:fill="auto"/>
          </w:tcPr>
          <w:p w14:paraId="0C44E0F7">
            <w:pPr>
              <w:pStyle w:val="16"/>
              <w:rPr>
                <w:rFonts w:hint="default" w:ascii="Times New Roman" w:hAnsi="Times New Roman" w:cs="Times New Roman"/>
                <w:sz w:val="16"/>
                <w:szCs w:val="16"/>
              </w:rPr>
            </w:pPr>
            <w:r>
              <w:rPr>
                <w:rFonts w:hint="default" w:ascii="Times New Roman" w:hAnsi="Times New Roman" w:cs="Times New Roman"/>
                <w:sz w:val="16"/>
                <w:szCs w:val="16"/>
              </w:rPr>
              <w:t>-50</w:t>
            </w:r>
          </w:p>
        </w:tc>
      </w:tr>
      <w:tr w14:paraId="1A5241E3">
        <w:trPr>
          <w:jc w:val="center"/>
        </w:trPr>
        <w:tc>
          <w:tcPr>
            <w:tcW w:w="5000" w:type="pct"/>
            <w:gridSpan w:val="13"/>
            <w:tcBorders>
              <w:top w:val="single" w:color="auto" w:sz="6" w:space="0"/>
              <w:left w:val="single" w:color="auto" w:sz="6" w:space="0"/>
              <w:bottom w:val="single" w:color="auto" w:sz="6" w:space="0"/>
              <w:right w:val="single" w:color="auto" w:sz="6" w:space="0"/>
            </w:tcBorders>
            <w:shd w:val="clear" w:color="auto" w:fill="auto"/>
            <w:vAlign w:val="center"/>
          </w:tcPr>
          <w:p w14:paraId="7B180306">
            <w:pPr>
              <w:pStyle w:val="18"/>
              <w:rPr>
                <w:rFonts w:hint="default" w:ascii="Times New Roman" w:hAnsi="Times New Roman" w:cs="Times New Roman"/>
                <w:sz w:val="16"/>
                <w:szCs w:val="16"/>
              </w:rPr>
            </w:pPr>
            <w:r>
              <w:rPr>
                <w:rFonts w:hint="default" w:ascii="Times New Roman" w:hAnsi="Times New Roman" w:cs="Times New Roman"/>
                <w:sz w:val="16"/>
                <w:szCs w:val="16"/>
              </w:rPr>
              <w:t>NOTE 1:</w:t>
            </w:r>
            <w:r>
              <w:rPr>
                <w:rFonts w:hint="default" w:ascii="Times New Roman" w:hAnsi="Times New Roman" w:cs="Times New Roman"/>
                <w:sz w:val="16"/>
                <w:szCs w:val="16"/>
              </w:rPr>
              <w:tab/>
            </w:r>
            <w:r>
              <w:rPr>
                <w:rFonts w:hint="default" w:ascii="Times New Roman" w:hAnsi="Times New Roman" w:cs="Times New Roman"/>
                <w:sz w:val="16"/>
                <w:szCs w:val="16"/>
              </w:rPr>
              <w:t>Io is assumed to have constant EPRE across the bandwidth.</w:t>
            </w:r>
          </w:p>
          <w:p w14:paraId="6338EFBE">
            <w:pPr>
              <w:pStyle w:val="18"/>
              <w:rPr>
                <w:rFonts w:hint="default" w:ascii="Times New Roman" w:hAnsi="Times New Roman" w:cs="Times New Roman"/>
                <w:sz w:val="16"/>
                <w:szCs w:val="16"/>
              </w:rPr>
            </w:pPr>
            <w:r>
              <w:rPr>
                <w:rFonts w:hint="default" w:ascii="Times New Roman" w:hAnsi="Times New Roman" w:cs="Times New Roman"/>
                <w:sz w:val="16"/>
                <w:szCs w:val="16"/>
              </w:rPr>
              <w:t>NOTE 2:</w:t>
            </w:r>
            <w:r>
              <w:rPr>
                <w:rFonts w:hint="default" w:ascii="Times New Roman" w:hAnsi="Times New Roman" w:cs="Times New Roman"/>
                <w:sz w:val="16"/>
                <w:szCs w:val="16"/>
              </w:rPr>
              <w:tab/>
            </w:r>
            <w:r>
              <w:rPr>
                <w:rFonts w:hint="default" w:ascii="Times New Roman" w:hAnsi="Times New Roman" w:cs="Times New Roman"/>
                <w:sz w:val="16"/>
                <w:szCs w:val="16"/>
              </w:rPr>
              <w:t>NR operating band groups in FR1 are as defined in clause 3.5.2.</w:t>
            </w:r>
          </w:p>
        </w:tc>
      </w:tr>
    </w:tbl>
    <w:p w14:paraId="5A4C664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113954C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Taking above into account, it is proposed to define accuracy requirements with different side conditions for different SCS. In detail, for 15KHz SCS and 30KHz SCS, the accuracy requirements are defined to cover both intra- and inter-cell scenarios. For SCS larger than or equal to 60KHz, the accuracy requirements are defined only cover intra-cell scenario.</w:t>
      </w:r>
    </w:p>
    <w:p w14:paraId="44FBBCA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it is proposed to define accuracy requirements with different side conditions for different SCS</w:t>
      </w:r>
    </w:p>
    <w:p w14:paraId="566A405A">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For 15KHz SCS and 30KHz SCS, the L1-SRS-SRSP accuracy requirements are defined to cover both intra-cell scenario and inter-cell scenario</w:t>
      </w:r>
    </w:p>
    <w:p w14:paraId="29EE44C1">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For SCS larger than or equal to 60KHz, the L1-SRS-SRSP accuracy requirements are defined only cover intra-cell scenario</w:t>
      </w:r>
    </w:p>
    <w:p w14:paraId="477309AC">
      <w:pPr>
        <w:keepNext w:val="0"/>
        <w:keepLines w:val="0"/>
        <w:pageBreakBefore w:val="0"/>
        <w:widowControl w:val="0"/>
        <w:kinsoku/>
        <w:wordWrap/>
        <w:overflowPunct/>
        <w:topLinePunct w:val="0"/>
        <w:autoSpaceDE/>
        <w:autoSpaceDN/>
        <w:bidi w:val="0"/>
        <w:adjustRightInd/>
        <w:snapToGrid/>
        <w:spacing w:after="180" w:line="240" w:lineRule="auto"/>
        <w:textAlignment w:val="auto"/>
        <w:outlineLvl w:val="1"/>
        <w:rPr>
          <w:rFonts w:hint="default" w:ascii="Times New Roman" w:hAnsi="Times New Roman"/>
          <w:sz w:val="20"/>
          <w:szCs w:val="20"/>
          <w:lang w:val="en-US" w:eastAsia="zh-CN"/>
        </w:rPr>
      </w:pPr>
      <w:r>
        <w:rPr>
          <w:rFonts w:hint="eastAsia" w:ascii="Times New Roman" w:hAnsi="Times New Roman"/>
          <w:sz w:val="20"/>
          <w:szCs w:val="20"/>
          <w:lang w:val="en-US" w:eastAsia="zh-CN"/>
        </w:rPr>
        <w:t>2.2 Test cases on CLI measurement</w:t>
      </w:r>
    </w:p>
    <w:p w14:paraId="36ECA4F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In core part discussion, it was agreed that RAN4 not to define RRM requirements for gNB to gNB CLI handling. For UE to UE CLI handling, RAN4 define requirements for L1-SRS-RSRP and L1-CLI-RSSI. Measurement period requirements for L1-CLI-RSSI are defined based on 1 sample. For L1-SRS-RSRP, for periodic and semi-persistent SRS resource, M=1 if higher layer parameter </w:t>
      </w:r>
      <w:r>
        <w:rPr>
          <w:rFonts w:hint="eastAsia" w:ascii="Times New Roman" w:hAnsi="Times New Roman"/>
          <w:i/>
          <w:iCs/>
          <w:sz w:val="20"/>
          <w:szCs w:val="20"/>
          <w:lang w:val="en-US" w:eastAsia="zh-CN"/>
        </w:rPr>
        <w:t>timeRestrictionForChannelMeasurement</w:t>
      </w:r>
      <w:r>
        <w:rPr>
          <w:rFonts w:hint="eastAsia" w:ascii="Times New Roman" w:hAnsi="Times New Roman"/>
          <w:sz w:val="20"/>
          <w:szCs w:val="20"/>
          <w:lang w:val="en-US" w:eastAsia="zh-CN"/>
        </w:rPr>
        <w:t xml:space="preserve"> is configured, and M=3 otherwise. For aperiodic SRS resources M=1. And RAN4 to define one set of accuracy requirements based 1 sample. It is proposed to define test cases on measurement period to cover both L1-SRS-RSRP and L1-CLI-RSSI.</w:t>
      </w:r>
    </w:p>
    <w:p w14:paraId="04749CE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b/>
          <w:bCs/>
          <w:i/>
          <w:iCs/>
          <w:sz w:val="20"/>
          <w:szCs w:val="20"/>
          <w:lang w:val="en-US" w:eastAsia="zh-CN"/>
        </w:rPr>
        <w:t xml:space="preserve">Proposal 2: it is proposed to define test cases on measurement period for both L1-SRS-RSRP and L1-CLI-RSSI. </w:t>
      </w:r>
    </w:p>
    <w:p w14:paraId="6B45EA2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In total, there are three methods. As shown in following, different scheduling restrictions are defined for different method. It is necessary to define test cases for three methods.</w:t>
      </w:r>
    </w:p>
    <w:p w14:paraId="3DAA1FC4">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lang w:val="en-US" w:eastAsia="zh-CN"/>
        </w:rPr>
      </w:pPr>
      <w:r>
        <w:rPr>
          <w:rFonts w:hint="default" w:ascii="Times New Roman" w:hAnsi="Times New Roman"/>
          <w:sz w:val="20"/>
          <w:szCs w:val="20"/>
          <w:lang w:val="en-US" w:eastAsia="zh-CN"/>
        </w:rPr>
        <w:t>Method#1: UE measures RSSI within DL subband</w:t>
      </w:r>
    </w:p>
    <w:p w14:paraId="75FBCDA6">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lang w:val="en-US" w:eastAsia="zh-CN"/>
        </w:rPr>
      </w:pPr>
      <w:r>
        <w:rPr>
          <w:rFonts w:hint="default" w:ascii="Times New Roman" w:hAnsi="Times New Roman"/>
          <w:sz w:val="20"/>
          <w:szCs w:val="20"/>
          <w:lang w:val="en-US" w:eastAsia="zh-CN"/>
        </w:rPr>
        <w:t>Method#2: UE measures RSRP of aggressor UE within UL subband</w:t>
      </w:r>
    </w:p>
    <w:p w14:paraId="1F016531">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lang w:val="en-US" w:eastAsia="zh-CN"/>
        </w:rPr>
      </w:pPr>
      <w:r>
        <w:rPr>
          <w:rFonts w:hint="default" w:ascii="Times New Roman" w:hAnsi="Times New Roman"/>
          <w:sz w:val="20"/>
          <w:szCs w:val="20"/>
          <w:lang w:val="en-US" w:eastAsia="zh-CN"/>
        </w:rPr>
        <w:t>Method#3: UE measures RSSI within UL subband</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EC5F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D33F4F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sz w:val="20"/>
                <w:szCs w:val="20"/>
                <w:vertAlign w:val="baseline"/>
                <w:lang w:val="en-US" w:eastAsia="zh-CN"/>
              </w:rPr>
            </w:pPr>
            <w:r>
              <w:rPr>
                <w:rFonts w:hint="default" w:ascii="Times New Roman" w:hAnsi="Times New Roman" w:cs="Times New Roman"/>
                <w:b/>
                <w:bCs/>
                <w:sz w:val="20"/>
                <w:szCs w:val="20"/>
                <w:vertAlign w:val="baseline"/>
                <w:lang w:val="en-US" w:eastAsia="zh-CN"/>
              </w:rPr>
              <w:t>Agreements on scheduling restriction for L1-SRS-RSRP</w:t>
            </w:r>
            <w:r>
              <w:rPr>
                <w:rFonts w:hint="eastAsia" w:ascii="Times New Roman" w:hAnsi="Times New Roman" w:cs="Times New Roman"/>
                <w:b/>
                <w:bCs/>
                <w:sz w:val="20"/>
                <w:szCs w:val="20"/>
                <w:vertAlign w:val="baseline"/>
                <w:lang w:val="en-US" w:eastAsia="zh-CN"/>
              </w:rPr>
              <w:t xml:space="preserve"> (Method#2)</w:t>
            </w:r>
          </w:p>
          <w:p w14:paraId="6432AF52">
            <w:pPr>
              <w:pStyle w:val="12"/>
              <w:numPr>
                <w:ilvl w:val="1"/>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UL,</w:t>
            </w:r>
            <w:r>
              <w:rPr>
                <w:rFonts w:hint="default" w:ascii="Times New Roman" w:hAnsi="Times New Roman" w:cs="Times New Roman"/>
                <w:sz w:val="20"/>
                <w:szCs w:val="20"/>
              </w:rPr>
              <w:t xml:space="preserve"> </w:t>
            </w:r>
          </w:p>
          <w:p w14:paraId="077CC29F">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Scheduling restrictions always apply, for both FR1 and FR2. </w:t>
            </w:r>
          </w:p>
          <w:p w14:paraId="5842FB78">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The restricted symbols include symbols for SRS resource and Y symbols before, where Y is re-using same number as R16 requirements.</w:t>
            </w:r>
          </w:p>
          <w:p w14:paraId="1CB5FCCB">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the symbols after the SRS resource, not define scheduling restriction on symbols after symbols for SRS resource in TS 38.133, with the understanding that the UL/DL switching time is covered by RAN1 specification TS 38.211.</w:t>
            </w:r>
          </w:p>
          <w:p w14:paraId="0CAFB531">
            <w:pPr>
              <w:pStyle w:val="12"/>
              <w:numPr>
                <w:ilvl w:val="1"/>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DL,</w:t>
            </w:r>
          </w:p>
          <w:p w14:paraId="4BC6CA2E">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if UE is able to support FDM-ed DL reception and SRS measurement, scheduling restriction does not apply except when SRS resources are not TypeD QCL-ed with PDCCH/PDSCH in FR2, otherwise (if UE does not support the capability), scheduling restriction applies.</w:t>
            </w:r>
          </w:p>
          <w:p w14:paraId="24471517">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The restricted symbols include symbols for SRS resource and Y symbols before symbols for SRS resource, where Y is re-using same number as R16 requirements.</w:t>
            </w:r>
          </w:p>
          <w:p w14:paraId="68B741C6">
            <w:pPr>
              <w:pStyle w:val="12"/>
              <w:numPr>
                <w:ilvl w:val="2"/>
                <w:numId w:val="4"/>
              </w:numPr>
              <w:spacing w:after="120"/>
              <w:ind w:firstLineChars="0"/>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sz w:val="20"/>
                <w:szCs w:val="20"/>
                <w:lang w:eastAsia="zh-CN"/>
              </w:rPr>
              <w:t>FFS whether restricted symbol(s) is needed for the symbol(s) after SRS resource to consider the switching between UL subband and DL subband.</w:t>
            </w:r>
          </w:p>
          <w:p w14:paraId="319259B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sz w:val="20"/>
                <w:szCs w:val="20"/>
                <w:vertAlign w:val="baseline"/>
                <w:lang w:val="en-US" w:eastAsia="zh-CN"/>
              </w:rPr>
            </w:pPr>
            <w:r>
              <w:rPr>
                <w:rFonts w:hint="default" w:ascii="Times New Roman" w:hAnsi="Times New Roman" w:cs="Times New Roman"/>
                <w:b/>
                <w:bCs/>
                <w:sz w:val="20"/>
                <w:szCs w:val="20"/>
                <w:vertAlign w:val="baseline"/>
                <w:lang w:val="en-US" w:eastAsia="zh-CN"/>
              </w:rPr>
              <w:t>Agreements on scheduling restriction for L1-CLI-RSSI</w:t>
            </w:r>
          </w:p>
          <w:p w14:paraId="3E92ED6F">
            <w:pPr>
              <w:pStyle w:val="12"/>
              <w:numPr>
                <w:ilvl w:val="1"/>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Method #1:</w:t>
            </w:r>
          </w:p>
          <w:p w14:paraId="25AB952A">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UL,</w:t>
            </w:r>
          </w:p>
          <w:p w14:paraId="42863DEE">
            <w:pPr>
              <w:pStyle w:val="12"/>
              <w:numPr>
                <w:ilvl w:val="3"/>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Scheduling restrictions always apply, for both FR1 and FR2. </w:t>
            </w:r>
          </w:p>
          <w:p w14:paraId="3302ACDA">
            <w:pPr>
              <w:pStyle w:val="12"/>
              <w:numPr>
                <w:ilvl w:val="3"/>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The restricted symbols include symbols for RSSI resource. </w:t>
            </w:r>
          </w:p>
          <w:p w14:paraId="08ADF56D">
            <w:pPr>
              <w:pStyle w:val="12"/>
              <w:numPr>
                <w:ilvl w:val="3"/>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Do not define scheduling restriction on symbols after symbols for RSSI resource, with the understanding that the UL/DL switching time is covered by RAN1 specification TS 38.211 clause 4.3.2</w:t>
            </w:r>
          </w:p>
          <w:p w14:paraId="14ACFBFD">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For DL, </w:t>
            </w:r>
          </w:p>
          <w:p w14:paraId="4B4BE4E3">
            <w:pPr>
              <w:pStyle w:val="12"/>
              <w:numPr>
                <w:ilvl w:val="3"/>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Scheduling restriction does not apply except when RSSI resources are not TypeD QCL-ed with PDCCH/PDSCH in FR2, the restricted symbols include symbols for RSSI resource</w:t>
            </w:r>
          </w:p>
          <w:p w14:paraId="6AEAD156">
            <w:pPr>
              <w:pStyle w:val="12"/>
              <w:numPr>
                <w:ilvl w:val="1"/>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Method #3:</w:t>
            </w:r>
          </w:p>
          <w:p w14:paraId="4D6DB5C5">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UL,</w:t>
            </w:r>
          </w:p>
          <w:p w14:paraId="04E32534">
            <w:pPr>
              <w:pStyle w:val="12"/>
              <w:numPr>
                <w:ilvl w:val="3"/>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Scheduling restrictions always apply, for both FR1 and FR2. </w:t>
            </w:r>
          </w:p>
          <w:p w14:paraId="1916FF2E">
            <w:pPr>
              <w:pStyle w:val="12"/>
              <w:numPr>
                <w:ilvl w:val="3"/>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The restricted symbols include symbols for RSSI resource. </w:t>
            </w:r>
          </w:p>
          <w:p w14:paraId="22483F89">
            <w:pPr>
              <w:pStyle w:val="12"/>
              <w:numPr>
                <w:ilvl w:val="3"/>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Do not define scheduling restriction on symbols after symbols for RSSI resource, with the understanding that the UL/DL switching time is covered by RAN1 specification TS 38.211 clause 4.3.2</w:t>
            </w:r>
          </w:p>
          <w:p w14:paraId="48BA2A9C">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For DL, </w:t>
            </w:r>
          </w:p>
          <w:p w14:paraId="29017339">
            <w:pPr>
              <w:pStyle w:val="12"/>
              <w:numPr>
                <w:ilvl w:val="3"/>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Scheduling restriction does not apply except when RSSI resources are not TypeD QCL-ed with PDCCH/PDSCH in FR2, the restricted symbols include symbols for RSSI resource.</w:t>
            </w:r>
          </w:p>
          <w:p w14:paraId="37AE0F4D">
            <w:pPr>
              <w:pStyle w:val="12"/>
              <w:numPr>
                <w:ilvl w:val="4"/>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Note: the common understanding in RAN4 if the RSSI in UL suband is too strong compare to the wanted signals in DL suband(s), UE may fail to decode the PDCCH or PDSCH. </w:t>
            </w:r>
          </w:p>
          <w:p w14:paraId="108A38D2">
            <w:pPr>
              <w:pStyle w:val="12"/>
              <w:numPr>
                <w:ilvl w:val="3"/>
                <w:numId w:val="4"/>
              </w:numPr>
              <w:spacing w:after="120"/>
              <w:ind w:firstLineChars="0"/>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sz w:val="20"/>
                <w:szCs w:val="20"/>
                <w:lang w:eastAsia="zh-CN"/>
              </w:rPr>
              <w:t>FFS whether restricted symbol(s) is needed for the symbol(s) after RSSI resource to consider the switching between UL subband and DL subband.</w:t>
            </w:r>
          </w:p>
        </w:tc>
      </w:tr>
    </w:tbl>
    <w:p w14:paraId="116DE99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0FD7879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it is proposed to define test cases on scheduling restriction for following methods</w:t>
      </w:r>
    </w:p>
    <w:p w14:paraId="49D07723">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default" w:ascii="Times New Roman" w:hAnsi="Times New Roman"/>
          <w:b/>
          <w:bCs/>
          <w:i/>
          <w:iCs/>
          <w:sz w:val="20"/>
          <w:szCs w:val="20"/>
          <w:lang w:val="en-US" w:eastAsia="zh-CN"/>
        </w:rPr>
        <w:t>Method#1: UE measures RSSI within DL subband</w:t>
      </w:r>
    </w:p>
    <w:p w14:paraId="4E41B604">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default" w:ascii="Times New Roman" w:hAnsi="Times New Roman"/>
          <w:b/>
          <w:bCs/>
          <w:i/>
          <w:iCs/>
          <w:sz w:val="20"/>
          <w:szCs w:val="20"/>
          <w:lang w:val="en-US" w:eastAsia="zh-CN"/>
        </w:rPr>
        <w:t>Method#2: UE measures RSRP of aggressor UE within UL subband</w:t>
      </w:r>
    </w:p>
    <w:p w14:paraId="5D79047B">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default" w:ascii="Times New Roman" w:hAnsi="Times New Roman"/>
          <w:b/>
          <w:bCs/>
          <w:i/>
          <w:iCs/>
          <w:sz w:val="20"/>
          <w:szCs w:val="20"/>
          <w:lang w:val="en-US" w:eastAsia="zh-CN"/>
        </w:rPr>
        <w:t>Method#3: UE measures RSSI within UL subband</w:t>
      </w:r>
    </w:p>
    <w:p w14:paraId="6E7AFCDD">
      <w:pPr>
        <w:keepNext w:val="0"/>
        <w:keepLines w:val="0"/>
        <w:pageBreakBefore w:val="0"/>
        <w:widowControl w:val="0"/>
        <w:kinsoku/>
        <w:wordWrap/>
        <w:overflowPunct/>
        <w:topLinePunct w:val="0"/>
        <w:autoSpaceDE/>
        <w:autoSpaceDN/>
        <w:bidi w:val="0"/>
        <w:adjustRightInd/>
        <w:snapToGrid/>
        <w:spacing w:after="180" w:line="240" w:lineRule="auto"/>
        <w:textAlignment w:val="auto"/>
        <w:outlineLvl w:val="1"/>
        <w:rPr>
          <w:rFonts w:hint="default" w:ascii="Times New Roman" w:hAnsi="Times New Roman"/>
          <w:sz w:val="20"/>
          <w:szCs w:val="20"/>
          <w:lang w:val="en-US" w:eastAsia="zh-CN"/>
        </w:rPr>
      </w:pPr>
      <w:r>
        <w:rPr>
          <w:rFonts w:hint="eastAsia" w:ascii="Times New Roman" w:hAnsi="Times New Roman"/>
          <w:sz w:val="20"/>
          <w:szCs w:val="20"/>
          <w:lang w:val="en-US" w:eastAsia="zh-CN"/>
        </w:rPr>
        <w:t>2.3 Test cases on RRM impacts of SBFD operation</w:t>
      </w:r>
    </w:p>
    <w:p w14:paraId="54F5F48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How to handle the collision between SSB/CSI-RS based measurement and UL transmission is discussed case by case. For SSB based measurement, for SBFD-aware UE, existing requirements apply for SSB based serving cell and neighbour cell measurement, i.e. SSB measurement is prioritized over UL transmission. For CSI-RS colliding with UL transmission, for aperiodic CSI-RS resource, existing measurement requirements apply, i.e. the measurement is prioritized over semi-statically configured UL transmission. Dynamically scheduled UL transmission is prioritized over periodic/semi-persistent CSI-RS resource for L1-RSRP/SINR and RLM/BFD/CBD measurement. Measurement period for periodic/semi-persistent CSI-RS based L1-RSRP/SINR and RLM/BFD/CBD is extended for collision with dynamically scheduled UL transmission following the R16 NR-U approach. It is necessary to define test cases to guarantee UE performance. Especially for the collision between periodic/semi-persistent CSI-RS resource for L1-RSRP/SINR and RLM/BFD/CBD measurement and dynamically scheduled UL transmission, UL transmission is prioritized, and measurement period for periodic/semi-persistent CSI-RS based L1-RSRP/SINR and RLM/BFD/CBD is extended.</w:t>
      </w:r>
    </w:p>
    <w:p w14:paraId="25A98A8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4: it is proposed to define test cases on the handling of the collision between SSB/CSI-RS based L1 measurement and UL transmission</w:t>
      </w:r>
    </w:p>
    <w:p w14:paraId="3BB64CCA">
      <w:pPr>
        <w:keepNext w:val="0"/>
        <w:keepLines w:val="0"/>
        <w:pageBreakBefore w:val="0"/>
        <w:widowControl w:val="0"/>
        <w:numPr>
          <w:ilvl w:val="0"/>
          <w:numId w:val="7"/>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SSB based measurement is collided with UL transmission</w:t>
      </w:r>
    </w:p>
    <w:p w14:paraId="7387EA0D">
      <w:pPr>
        <w:keepNext w:val="0"/>
        <w:keepLines w:val="0"/>
        <w:pageBreakBefore w:val="0"/>
        <w:widowControl w:val="0"/>
        <w:numPr>
          <w:ilvl w:val="0"/>
          <w:numId w:val="7"/>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L1 measurement based on a</w:t>
      </w:r>
      <w:r>
        <w:rPr>
          <w:rFonts w:hint="default" w:ascii="Times New Roman" w:hAnsi="Times New Roman"/>
          <w:b/>
          <w:bCs/>
          <w:i/>
          <w:iCs/>
          <w:sz w:val="20"/>
          <w:szCs w:val="20"/>
          <w:lang w:val="en-US" w:eastAsia="zh-CN"/>
        </w:rPr>
        <w:t>periodic CSI-RS resource</w:t>
      </w:r>
      <w:r>
        <w:rPr>
          <w:rFonts w:hint="eastAsia" w:ascii="Times New Roman" w:hAnsi="Times New Roman"/>
          <w:b/>
          <w:bCs/>
          <w:i/>
          <w:iCs/>
          <w:sz w:val="20"/>
          <w:szCs w:val="20"/>
          <w:lang w:val="en-US" w:eastAsia="zh-CN"/>
        </w:rPr>
        <w:t xml:space="preserve"> is collided with UL transmission</w:t>
      </w:r>
    </w:p>
    <w:p w14:paraId="5ABF5CDE">
      <w:pPr>
        <w:keepNext w:val="0"/>
        <w:keepLines w:val="0"/>
        <w:pageBreakBefore w:val="0"/>
        <w:widowControl w:val="0"/>
        <w:numPr>
          <w:ilvl w:val="0"/>
          <w:numId w:val="7"/>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L1 measurement based on periodic/semi-persistent </w:t>
      </w:r>
      <w:r>
        <w:rPr>
          <w:rFonts w:hint="default" w:ascii="Times New Roman" w:hAnsi="Times New Roman"/>
          <w:b/>
          <w:bCs/>
          <w:i/>
          <w:iCs/>
          <w:sz w:val="20"/>
          <w:szCs w:val="20"/>
          <w:lang w:val="en-US" w:eastAsia="zh-CN"/>
        </w:rPr>
        <w:t>CSI-RS resource</w:t>
      </w:r>
      <w:r>
        <w:rPr>
          <w:rFonts w:hint="eastAsia" w:ascii="Times New Roman" w:hAnsi="Times New Roman"/>
          <w:b/>
          <w:bCs/>
          <w:i/>
          <w:iCs/>
          <w:sz w:val="20"/>
          <w:szCs w:val="20"/>
          <w:lang w:val="en-US" w:eastAsia="zh-CN"/>
        </w:rPr>
        <w:t xml:space="preserve"> is collided with UL transmission</w:t>
      </w:r>
    </w:p>
    <w:p w14:paraId="4C74525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For CSI-RS L1 measurement, there are mainly three issues: CSI-RS colliding with UL transmission, CSI-RS puncturing in frequency domain in SBFD symbols, and CSI-RS distributed over SBFD and non-SBFD symbols. The first issue is discussed in Proposal 4. Follwoing provide discussion on the latter two issues. </w:t>
      </w:r>
    </w:p>
    <w:p w14:paraId="238F4A2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For CSI-RS puncturing in frequency domain in SBFD symbols, both DU configuration and DUD configuration are considered. For DU configuration, existing accuracy requirements for CSI-RS based measurements apply if the number of consecutive CSI-RS PRBs (for the DU configuration) is no less than the existing threshold. For DUD, there are three cases. Existing delay (number of samples) requirements and accuracy requirements apply for Case 1 and Case 2. For case 3, for L1-RSRP and L1-SINR, existing delay requirements apply and accuracy requirements are relaxed provided that X1 &gt; X4 or X2 &gt; X4, where the accuracy requirements depend on the X4 = 24 PRBs. In the test, not model the interfering UE. Since UE behaviour is different for different case, it is necessary to define test cases.</w:t>
      </w:r>
    </w:p>
    <w:p w14:paraId="7CE22C4C">
      <w:pPr>
        <w:keepNext w:val="0"/>
        <w:keepLines w:val="0"/>
        <w:pageBreakBefore w:val="0"/>
        <w:widowControl w:val="0"/>
        <w:numPr>
          <w:ilvl w:val="0"/>
          <w:numId w:val="7"/>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lang w:val="en-US" w:eastAsia="zh-CN"/>
        </w:rPr>
      </w:pPr>
      <w:r>
        <w:rPr>
          <w:rFonts w:hint="default" w:ascii="Times New Roman" w:hAnsi="Times New Roman"/>
          <w:sz w:val="20"/>
          <w:szCs w:val="20"/>
          <w:lang w:val="en-US" w:eastAsia="zh-CN"/>
        </w:rPr>
        <w:t>Case 1: X1 &gt;= X3 and X2 &gt;= X3</w:t>
      </w:r>
    </w:p>
    <w:p w14:paraId="74FE43B2">
      <w:pPr>
        <w:keepNext w:val="0"/>
        <w:keepLines w:val="0"/>
        <w:pageBreakBefore w:val="0"/>
        <w:widowControl w:val="0"/>
        <w:numPr>
          <w:ilvl w:val="0"/>
          <w:numId w:val="7"/>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lang w:val="en-US" w:eastAsia="zh-CN"/>
        </w:rPr>
      </w:pPr>
      <w:r>
        <w:rPr>
          <w:rFonts w:hint="default" w:ascii="Times New Roman" w:hAnsi="Times New Roman"/>
          <w:sz w:val="20"/>
          <w:szCs w:val="20"/>
          <w:lang w:val="en-US" w:eastAsia="zh-CN"/>
        </w:rPr>
        <w:t>Case 2: X1 &gt;= X3 and X2 &lt; X3</w:t>
      </w:r>
    </w:p>
    <w:p w14:paraId="2C93F538">
      <w:pPr>
        <w:keepNext w:val="0"/>
        <w:keepLines w:val="0"/>
        <w:pageBreakBefore w:val="0"/>
        <w:widowControl w:val="0"/>
        <w:numPr>
          <w:ilvl w:val="0"/>
          <w:numId w:val="7"/>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lang w:val="en-US" w:eastAsia="zh-CN"/>
        </w:rPr>
      </w:pPr>
      <w:r>
        <w:rPr>
          <w:rFonts w:hint="default" w:ascii="Times New Roman" w:hAnsi="Times New Roman"/>
          <w:sz w:val="20"/>
          <w:szCs w:val="20"/>
          <w:lang w:val="en-US" w:eastAsia="zh-CN"/>
        </w:rPr>
        <w:t>Case 3: X1 &lt; X3 and X2 &lt; X3, (X1 + X2) &gt;= X3</w:t>
      </w:r>
    </w:p>
    <w:p w14:paraId="43D1F045">
      <w:pPr>
        <w:keepNext w:val="0"/>
        <w:keepLines w:val="0"/>
        <w:pageBreakBefore w:val="0"/>
        <w:widowControl w:val="0"/>
        <w:numPr>
          <w:ilvl w:val="0"/>
          <w:numId w:val="8"/>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lang w:val="en-US" w:eastAsia="zh-CN"/>
        </w:rPr>
      </w:pPr>
      <w:r>
        <w:rPr>
          <w:rFonts w:hint="default" w:ascii="Times New Roman" w:hAnsi="Times New Roman"/>
          <w:sz w:val="20"/>
          <w:szCs w:val="20"/>
          <w:lang w:val="en-US" w:eastAsia="zh-CN"/>
        </w:rPr>
        <w:t>where X1 and X2 are CSI-RS BW in DL sub-band #1 and sub-band #2, and X3 is the min BW with which the existing accuracy requirements apply (X3=48 for L1-RSRP/L1-SINR and X3=24 for RLM/BFD/CBD).</w:t>
      </w:r>
    </w:p>
    <w:p w14:paraId="0153FBD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5: it is proposed to define test cases on CSI-RS puncturing in frequency domain in SBFD symbols</w:t>
      </w:r>
    </w:p>
    <w:p w14:paraId="0545D61F">
      <w:pPr>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DU configuration</w:t>
      </w:r>
    </w:p>
    <w:p w14:paraId="5C6499C7">
      <w:pPr>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DUD configuration  </w:t>
      </w:r>
    </w:p>
    <w:p w14:paraId="26BB12FA">
      <w:pPr>
        <w:keepNext w:val="0"/>
        <w:keepLines w:val="0"/>
        <w:pageBreakBefore w:val="0"/>
        <w:widowControl w:val="0"/>
        <w:numPr>
          <w:ilvl w:val="0"/>
          <w:numId w:val="10"/>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b/>
          <w:bCs/>
          <w:i/>
          <w:iCs/>
          <w:sz w:val="20"/>
          <w:szCs w:val="20"/>
          <w:lang w:val="en-US" w:eastAsia="zh-CN"/>
        </w:rPr>
      </w:pPr>
      <w:r>
        <w:rPr>
          <w:rFonts w:hint="default" w:ascii="Times New Roman" w:hAnsi="Times New Roman"/>
          <w:b/>
          <w:bCs/>
          <w:i/>
          <w:iCs/>
          <w:sz w:val="20"/>
          <w:szCs w:val="20"/>
          <w:lang w:val="en-US" w:eastAsia="zh-CN"/>
        </w:rPr>
        <w:t>Case 1: X1 &gt;= X3 and X2 &gt;= X3</w:t>
      </w:r>
    </w:p>
    <w:p w14:paraId="28F377B7">
      <w:pPr>
        <w:keepNext w:val="0"/>
        <w:keepLines w:val="0"/>
        <w:pageBreakBefore w:val="0"/>
        <w:widowControl w:val="0"/>
        <w:numPr>
          <w:ilvl w:val="0"/>
          <w:numId w:val="10"/>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b/>
          <w:bCs/>
          <w:i/>
          <w:iCs/>
          <w:sz w:val="20"/>
          <w:szCs w:val="20"/>
          <w:lang w:val="en-US" w:eastAsia="zh-CN"/>
        </w:rPr>
      </w:pPr>
      <w:r>
        <w:rPr>
          <w:rFonts w:hint="default" w:ascii="Times New Roman" w:hAnsi="Times New Roman"/>
          <w:b/>
          <w:bCs/>
          <w:i/>
          <w:iCs/>
          <w:sz w:val="20"/>
          <w:szCs w:val="20"/>
          <w:lang w:val="en-US" w:eastAsia="zh-CN"/>
        </w:rPr>
        <w:t>Case 2: X1 &gt;= X3 and X2 &lt; X3</w:t>
      </w:r>
    </w:p>
    <w:p w14:paraId="212588EB">
      <w:pPr>
        <w:keepNext w:val="0"/>
        <w:keepLines w:val="0"/>
        <w:pageBreakBefore w:val="0"/>
        <w:widowControl w:val="0"/>
        <w:numPr>
          <w:ilvl w:val="0"/>
          <w:numId w:val="10"/>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b/>
          <w:bCs/>
          <w:i/>
          <w:iCs/>
          <w:sz w:val="20"/>
          <w:szCs w:val="20"/>
          <w:lang w:val="en-US" w:eastAsia="zh-CN"/>
        </w:rPr>
      </w:pPr>
      <w:r>
        <w:rPr>
          <w:rFonts w:hint="default" w:ascii="Times New Roman" w:hAnsi="Times New Roman"/>
          <w:b/>
          <w:bCs/>
          <w:i/>
          <w:iCs/>
          <w:sz w:val="20"/>
          <w:szCs w:val="20"/>
          <w:lang w:val="en-US" w:eastAsia="zh-CN"/>
        </w:rPr>
        <w:t>Case 3: X1 &lt; X3 and X2 &lt; X3, (X1 + X2) &gt;= X3</w:t>
      </w:r>
    </w:p>
    <w:p w14:paraId="4A0FF04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For the measurement that CSI-RS is distributed over SBFD and non-SBFD symbols, the core part agreements are duplicated as following. F</w:t>
      </w:r>
      <w:r>
        <w:rPr>
          <w:rFonts w:hint="default" w:ascii="Times New Roman" w:hAnsi="Times New Roman" w:eastAsia="宋体" w:cs="Times New Roman"/>
          <w:sz w:val="20"/>
          <w:szCs w:val="20"/>
          <w:lang w:eastAsia="zh-CN"/>
        </w:rPr>
        <w:t>or CSI-RS based L1-RSRP/SINR measurements, UE measures the CSI-RS occasions on the valid symbol type indicated by network</w:t>
      </w:r>
      <w:r>
        <w:rPr>
          <w:rFonts w:hint="eastAsia" w:ascii="Times New Roman" w:hAnsi="Times New Roman" w:cs="Times New Roman"/>
          <w:sz w:val="20"/>
          <w:szCs w:val="20"/>
          <w:lang w:val="en-US" w:eastAsia="zh-CN"/>
        </w:rPr>
        <w:t>. And the</w:t>
      </w:r>
      <w:bookmarkStart w:id="8" w:name="_GoBack"/>
      <w:bookmarkEnd w:id="8"/>
      <w:r>
        <w:rPr>
          <w:rFonts w:hint="eastAsia" w:ascii="Times New Roman" w:hAnsi="Times New Roman" w:cs="Times New Roman"/>
          <w:sz w:val="20"/>
          <w:szCs w:val="20"/>
          <w:lang w:val="en-US" w:eastAsia="zh-CN"/>
        </w:rPr>
        <w:t xml:space="preserve"> measurement </w:t>
      </w:r>
      <w:r>
        <w:rPr>
          <w:rFonts w:hint="default" w:ascii="Times New Roman" w:hAnsi="Times New Roman" w:eastAsia="宋体" w:cs="Times New Roman"/>
          <w:sz w:val="20"/>
          <w:szCs w:val="20"/>
          <w:lang w:eastAsia="zh-CN"/>
        </w:rPr>
        <w:t>period for CSI-RS based L1-RSRP/L1-SINR is extended by excluding resource occasions on invalid symbol type following the R16 NR-U approach.</w:t>
      </w:r>
      <w:r>
        <w:rPr>
          <w:rFonts w:hint="eastAsia" w:ascii="Times New Roman" w:hAnsi="Times New Roman" w:cs="Times New Roman"/>
          <w:sz w:val="20"/>
          <w:szCs w:val="20"/>
          <w:lang w:val="en-US" w:eastAsia="zh-CN"/>
        </w:rPr>
        <w:t xml:space="preserve"> For </w:t>
      </w:r>
      <w:r>
        <w:rPr>
          <w:rFonts w:hint="default" w:ascii="Times New Roman" w:hAnsi="Times New Roman" w:cs="Times New Roman"/>
          <w:sz w:val="20"/>
          <w:szCs w:val="20"/>
          <w:lang w:eastAsia="zh-CN"/>
        </w:rPr>
        <w:t>RLM/BFD/CBD</w:t>
      </w:r>
      <w:r>
        <w:rPr>
          <w:rFonts w:hint="eastAsia" w:ascii="Times New Roman" w:hAnsi="Times New Roman" w:cs="Times New Roman"/>
          <w:sz w:val="20"/>
          <w:szCs w:val="20"/>
          <w:lang w:val="en-US" w:eastAsia="zh-CN"/>
        </w:rPr>
        <w:t xml:space="preserve">, RAN4 to define requirements based on the assumption that occasions of a single CSI-RS resource are all in the same symbol type, and existing </w:t>
      </w:r>
      <w:r>
        <w:rPr>
          <w:rFonts w:hint="default" w:ascii="Times New Roman" w:hAnsi="Times New Roman" w:cs="Times New Roman"/>
          <w:sz w:val="20"/>
          <w:szCs w:val="20"/>
          <w:lang w:eastAsia="zh-CN"/>
        </w:rPr>
        <w:t>measurement period apply</w:t>
      </w:r>
      <w:r>
        <w:rPr>
          <w:rFonts w:hint="eastAsia" w:ascii="Times New Roman" w:hAnsi="Times New Roman" w:cs="Times New Roman"/>
          <w:sz w:val="20"/>
          <w:szCs w:val="20"/>
          <w:lang w:val="en-US" w:eastAsia="zh-CN"/>
        </w:rPr>
        <w:t xml:space="preserve">. It is necessary to define test cases to guarantee the performance. </w:t>
      </w:r>
    </w:p>
    <w:tbl>
      <w:tblPr>
        <w:tblStyle w:val="10"/>
        <w:tblpPr w:leftFromText="180" w:rightFromText="180" w:vertAnchor="text" w:horzAnchor="page" w:tblpX="1802" w:tblpY="48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E0F7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9331" w:type="dxa"/>
          </w:tcPr>
          <w:p w14:paraId="1D97CC80">
            <w:pPr>
              <w:numPr>
                <w:ilvl w:val="0"/>
                <w:numId w:val="0"/>
              </w:numPr>
              <w:spacing w:after="120"/>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Agreements in RAN4 #114bis</w:t>
            </w:r>
          </w:p>
          <w:p w14:paraId="3723E16E">
            <w:pPr>
              <w:numPr>
                <w:ilvl w:val="1"/>
                <w:numId w:val="4"/>
              </w:num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L1-RSRP and L1-SINR</w:t>
            </w:r>
          </w:p>
          <w:p w14:paraId="7315B3EF">
            <w:pPr>
              <w:pStyle w:val="12"/>
              <w:numPr>
                <w:ilvl w:val="2"/>
                <w:numId w:val="4"/>
              </w:numPr>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CSI-RS based L1-RSRP/SINR measurements, UE measures the CSI-RS occasions on the valid symbol type indicated by network</w:t>
            </w:r>
          </w:p>
          <w:p w14:paraId="1D159624">
            <w:pPr>
              <w:pStyle w:val="12"/>
              <w:numPr>
                <w:ilvl w:val="2"/>
                <w:numId w:val="4"/>
              </w:numPr>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L1-RSRP and L1-SINR measurement period, further discuss the following options.</w:t>
            </w:r>
          </w:p>
          <w:p w14:paraId="0E9DB6D0">
            <w:pPr>
              <w:pStyle w:val="12"/>
              <w:numPr>
                <w:ilvl w:val="3"/>
                <w:numId w:val="4"/>
              </w:numPr>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 Measurement period for CSI-RS based L1-RSRP/L1-SINR is extended by excluding resource occasions on invalid symbol type following the R16 NR-U approach.</w:t>
            </w:r>
          </w:p>
          <w:p w14:paraId="715D43CC">
            <w:pPr>
              <w:pStyle w:val="12"/>
              <w:numPr>
                <w:ilvl w:val="3"/>
                <w:numId w:val="4"/>
              </w:numPr>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 other</w:t>
            </w:r>
          </w:p>
          <w:p w14:paraId="11C86A12">
            <w:pPr>
              <w:numPr>
                <w:ilvl w:val="1"/>
                <w:numId w:val="4"/>
              </w:num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RLM/BFD/CBD, further discuss the following options</w:t>
            </w:r>
          </w:p>
          <w:p w14:paraId="6860DC3F">
            <w:pPr>
              <w:numPr>
                <w:ilvl w:val="2"/>
                <w:numId w:val="4"/>
              </w:num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RAN4 to define requirements based on the assumption that occasions of a single CSI-RS resource are all in the same symbol type</w:t>
            </w:r>
          </w:p>
          <w:p w14:paraId="24BB9E59">
            <w:pPr>
              <w:numPr>
                <w:ilvl w:val="2"/>
                <w:numId w:val="4"/>
              </w:num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Existing measurement period apply</w:t>
            </w:r>
          </w:p>
          <w:p w14:paraId="35F6A36D">
            <w:pPr>
              <w:pStyle w:val="12"/>
              <w:numPr>
                <w:ilvl w:val="2"/>
                <w:numId w:val="4"/>
              </w:numPr>
              <w:ind w:firstLineChars="0"/>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sz w:val="20"/>
                <w:szCs w:val="20"/>
                <w:lang w:eastAsia="zh-CN"/>
              </w:rPr>
              <w:t>FFS whether to add Note: For the potential power difference between SBFD symbol and non-SBFD symbol, no RAN4 enhancement on power difference handling in Rel-19</w:t>
            </w:r>
          </w:p>
          <w:p w14:paraId="6094F259">
            <w:pPr>
              <w:numPr>
                <w:ilvl w:val="0"/>
                <w:numId w:val="0"/>
              </w:numPr>
              <w:spacing w:after="120"/>
              <w:rPr>
                <w:rFonts w:hint="default" w:ascii="Times New Roman" w:hAnsi="Times New Roman" w:cs="Times New Roman"/>
                <w:b/>
                <w:bCs/>
                <w:sz w:val="20"/>
                <w:szCs w:val="20"/>
                <w:lang w:val="en-US" w:eastAsia="zh-CN"/>
              </w:rPr>
            </w:pPr>
          </w:p>
          <w:p w14:paraId="3273D563">
            <w:pPr>
              <w:numPr>
                <w:ilvl w:val="0"/>
                <w:numId w:val="0"/>
              </w:numPr>
              <w:spacing w:after="120"/>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Agreements in RAN4 #11</w:t>
            </w:r>
            <w:r>
              <w:rPr>
                <w:rFonts w:hint="eastAsia" w:ascii="Times New Roman" w:hAnsi="Times New Roman" w:cs="Times New Roman"/>
                <w:b/>
                <w:bCs/>
                <w:sz w:val="20"/>
                <w:szCs w:val="20"/>
                <w:lang w:val="en-US" w:eastAsia="zh-CN"/>
              </w:rPr>
              <w:t>5</w:t>
            </w:r>
          </w:p>
          <w:p w14:paraId="3EFAAAB0">
            <w:pPr>
              <w:numPr>
                <w:ilvl w:val="1"/>
                <w:numId w:val="4"/>
              </w:num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L1-RSRP and L1-SINR</w:t>
            </w:r>
          </w:p>
          <w:p w14:paraId="2706CC8F">
            <w:pPr>
              <w:numPr>
                <w:ilvl w:val="2"/>
                <w:numId w:val="4"/>
              </w:num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Measurement period is extended by using R16 NR-U approach.</w:t>
            </w:r>
          </w:p>
          <w:p w14:paraId="3DBF4667">
            <w:pPr>
              <w:numPr>
                <w:ilvl w:val="1"/>
                <w:numId w:val="4"/>
              </w:num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RLM/BFD/CBD</w:t>
            </w:r>
          </w:p>
          <w:p w14:paraId="129CDA7F">
            <w:pPr>
              <w:numPr>
                <w:ilvl w:val="2"/>
                <w:numId w:val="4"/>
              </w:num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Confirm the following for defining the requirements</w:t>
            </w:r>
          </w:p>
          <w:p w14:paraId="60D62128">
            <w:pPr>
              <w:numPr>
                <w:ilvl w:val="3"/>
                <w:numId w:val="4"/>
              </w:num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RAN4 to define requirements based on the assumption that occasions of a single CSI-RS resource are all in the same symbol type.</w:t>
            </w:r>
          </w:p>
          <w:p w14:paraId="11C2DF6A">
            <w:pPr>
              <w:numPr>
                <w:ilvl w:val="3"/>
                <w:numId w:val="4"/>
              </w:num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Existing measurement period apply.</w:t>
            </w:r>
          </w:p>
          <w:p w14:paraId="421A6817">
            <w:pPr>
              <w:pStyle w:val="12"/>
              <w:numPr>
                <w:numId w:val="0"/>
              </w:numPr>
              <w:rPr>
                <w:rFonts w:hint="default" w:ascii="Times New Roman" w:hAnsi="Times New Roman" w:eastAsia="宋体" w:cs="Times New Roman"/>
                <w:sz w:val="20"/>
                <w:szCs w:val="20"/>
                <w:lang w:val="en-US" w:eastAsia="zh-CN"/>
              </w:rPr>
            </w:pPr>
          </w:p>
        </w:tc>
      </w:tr>
    </w:tbl>
    <w:p w14:paraId="389EB4E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7DA84FE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6: it is proposed to define test cases on CSI-RS L1 measurement with CSI-RS resources distributed over SBFD and non-SBFD symbols  </w:t>
      </w:r>
    </w:p>
    <w:p w14:paraId="3408ECE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bookmarkEnd w:id="6"/>
    <w:bookmarkEnd w:id="7"/>
    <w:p w14:paraId="046857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7F3A70">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lang w:val="en-US" w:eastAsia="zh-CN"/>
        </w:rPr>
        <w:t>RRM performance requirements for SBFD</w:t>
      </w:r>
      <w:r>
        <w:rPr>
          <w:rFonts w:hint="eastAsia" w:ascii="Times New Roman" w:hAnsi="Times New Roman"/>
          <w:sz w:val="20"/>
          <w:szCs w:val="20"/>
          <w:highlight w:val="none"/>
        </w:rPr>
        <w:t>. The proposals are:</w:t>
      </w:r>
    </w:p>
    <w:p w14:paraId="5703D4A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1: L1-SRS-SRSP measurement performance gap between case 1 and case 2 is related with SCS</w:t>
      </w:r>
    </w:p>
    <w:p w14:paraId="63036DE7">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For 15KHz SCS and 30KHz SCS, the performance gap between case 1 and case 2 is small, less than 1dB. </w:t>
      </w:r>
    </w:p>
    <w:p w14:paraId="3739724E">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For larger SCS, e.g. 120KHz, the performance gap between case 1 and case 2 is large.</w:t>
      </w:r>
    </w:p>
    <w:p w14:paraId="1BF6482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it is proposed to define accuracy requirements with different side conditions for different SCS</w:t>
      </w:r>
    </w:p>
    <w:p w14:paraId="0BB6CDFB">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For 15KHz SCS and 30KHz SCS, the L1-SRS-SRSP accuracy requirements are defined to cover both intra-cell scenario and inter-cell scenario</w:t>
      </w:r>
    </w:p>
    <w:p w14:paraId="34AB888E">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For SCS larger than or equal to 60KHz, the L1-SRS-SRSP accuracy requirements are defined only cover intra-cell scenario</w:t>
      </w:r>
    </w:p>
    <w:p w14:paraId="341131D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b/>
          <w:bCs/>
          <w:i/>
          <w:iCs/>
          <w:sz w:val="20"/>
          <w:szCs w:val="20"/>
          <w:lang w:val="en-US" w:eastAsia="zh-CN"/>
        </w:rPr>
        <w:t xml:space="preserve">Proposal 2: it is proposed to define test cases on measurement period for both L1-SRS-RSRP and L1-CLI-RSSI. </w:t>
      </w:r>
    </w:p>
    <w:p w14:paraId="68951AF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it is proposed to define test cases on scheduling restriction for following methods</w:t>
      </w:r>
    </w:p>
    <w:p w14:paraId="1FDD736A">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default" w:ascii="Times New Roman" w:hAnsi="Times New Roman"/>
          <w:b/>
          <w:bCs/>
          <w:i/>
          <w:iCs/>
          <w:sz w:val="20"/>
          <w:szCs w:val="20"/>
          <w:lang w:val="en-US" w:eastAsia="zh-CN"/>
        </w:rPr>
        <w:t>Method#1: UE measures RSSI within DL subband</w:t>
      </w:r>
    </w:p>
    <w:p w14:paraId="2F3DD7A0">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default" w:ascii="Times New Roman" w:hAnsi="Times New Roman"/>
          <w:b/>
          <w:bCs/>
          <w:i/>
          <w:iCs/>
          <w:sz w:val="20"/>
          <w:szCs w:val="20"/>
          <w:lang w:val="en-US" w:eastAsia="zh-CN"/>
        </w:rPr>
        <w:t>Method#2: UE measures RSRP of aggressor UE within UL subband</w:t>
      </w:r>
    </w:p>
    <w:p w14:paraId="371369FF">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default" w:ascii="Times New Roman" w:hAnsi="Times New Roman"/>
          <w:b/>
          <w:bCs/>
          <w:i/>
          <w:iCs/>
          <w:sz w:val="20"/>
          <w:szCs w:val="20"/>
          <w:lang w:val="en-US" w:eastAsia="zh-CN"/>
        </w:rPr>
        <w:t>Method#3: UE measures RSSI within UL subband</w:t>
      </w:r>
    </w:p>
    <w:p w14:paraId="02BC409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4: it is proposed to define test cases on the handling of the collision between SSB/CSI-RS based L1 measurement and UL transmission</w:t>
      </w:r>
    </w:p>
    <w:p w14:paraId="3BF76B0E">
      <w:pPr>
        <w:keepNext w:val="0"/>
        <w:keepLines w:val="0"/>
        <w:pageBreakBefore w:val="0"/>
        <w:widowControl w:val="0"/>
        <w:numPr>
          <w:ilvl w:val="0"/>
          <w:numId w:val="7"/>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SSB based measurement is collided with UL transmission</w:t>
      </w:r>
    </w:p>
    <w:p w14:paraId="42D3ED13">
      <w:pPr>
        <w:keepNext w:val="0"/>
        <w:keepLines w:val="0"/>
        <w:pageBreakBefore w:val="0"/>
        <w:widowControl w:val="0"/>
        <w:numPr>
          <w:ilvl w:val="0"/>
          <w:numId w:val="7"/>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L1 measurement based on a</w:t>
      </w:r>
      <w:r>
        <w:rPr>
          <w:rFonts w:hint="default" w:ascii="Times New Roman" w:hAnsi="Times New Roman"/>
          <w:b/>
          <w:bCs/>
          <w:i/>
          <w:iCs/>
          <w:sz w:val="20"/>
          <w:szCs w:val="20"/>
          <w:lang w:val="en-US" w:eastAsia="zh-CN"/>
        </w:rPr>
        <w:t>periodic CSI-RS resource</w:t>
      </w:r>
      <w:r>
        <w:rPr>
          <w:rFonts w:hint="eastAsia" w:ascii="Times New Roman" w:hAnsi="Times New Roman"/>
          <w:b/>
          <w:bCs/>
          <w:i/>
          <w:iCs/>
          <w:sz w:val="20"/>
          <w:szCs w:val="20"/>
          <w:lang w:val="en-US" w:eastAsia="zh-CN"/>
        </w:rPr>
        <w:t xml:space="preserve"> is collided with UL transmission</w:t>
      </w:r>
    </w:p>
    <w:p w14:paraId="0A633B34">
      <w:pPr>
        <w:keepNext w:val="0"/>
        <w:keepLines w:val="0"/>
        <w:pageBreakBefore w:val="0"/>
        <w:widowControl w:val="0"/>
        <w:numPr>
          <w:ilvl w:val="0"/>
          <w:numId w:val="7"/>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L1 measurement based on periodic/semi-persistent </w:t>
      </w:r>
      <w:r>
        <w:rPr>
          <w:rFonts w:hint="default" w:ascii="Times New Roman" w:hAnsi="Times New Roman"/>
          <w:b/>
          <w:bCs/>
          <w:i/>
          <w:iCs/>
          <w:sz w:val="20"/>
          <w:szCs w:val="20"/>
          <w:lang w:val="en-US" w:eastAsia="zh-CN"/>
        </w:rPr>
        <w:t>CSI-RS resource</w:t>
      </w:r>
      <w:r>
        <w:rPr>
          <w:rFonts w:hint="eastAsia" w:ascii="Times New Roman" w:hAnsi="Times New Roman"/>
          <w:b/>
          <w:bCs/>
          <w:i/>
          <w:iCs/>
          <w:sz w:val="20"/>
          <w:szCs w:val="20"/>
          <w:lang w:val="en-US" w:eastAsia="zh-CN"/>
        </w:rPr>
        <w:t xml:space="preserve"> is collided with UL transmission</w:t>
      </w:r>
    </w:p>
    <w:p w14:paraId="4897B9E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5: it is proposed to define test cases on CSI-RS puncturing in frequency domain in SBFD symbols</w:t>
      </w:r>
    </w:p>
    <w:p w14:paraId="1926D44A">
      <w:pPr>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DU configuration</w:t>
      </w:r>
    </w:p>
    <w:p w14:paraId="5D0F902D">
      <w:pPr>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DUD configuration  </w:t>
      </w:r>
    </w:p>
    <w:p w14:paraId="4DD67167">
      <w:pPr>
        <w:keepNext w:val="0"/>
        <w:keepLines w:val="0"/>
        <w:pageBreakBefore w:val="0"/>
        <w:widowControl w:val="0"/>
        <w:numPr>
          <w:ilvl w:val="0"/>
          <w:numId w:val="10"/>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b/>
          <w:bCs/>
          <w:i/>
          <w:iCs/>
          <w:sz w:val="20"/>
          <w:szCs w:val="20"/>
          <w:lang w:val="en-US" w:eastAsia="zh-CN"/>
        </w:rPr>
      </w:pPr>
      <w:r>
        <w:rPr>
          <w:rFonts w:hint="default" w:ascii="Times New Roman" w:hAnsi="Times New Roman"/>
          <w:b/>
          <w:bCs/>
          <w:i/>
          <w:iCs/>
          <w:sz w:val="20"/>
          <w:szCs w:val="20"/>
          <w:lang w:val="en-US" w:eastAsia="zh-CN"/>
        </w:rPr>
        <w:t>Case 1: X1 &gt;= X3 and X2 &gt;= X3</w:t>
      </w:r>
    </w:p>
    <w:p w14:paraId="32CD71B6">
      <w:pPr>
        <w:keepNext w:val="0"/>
        <w:keepLines w:val="0"/>
        <w:pageBreakBefore w:val="0"/>
        <w:widowControl w:val="0"/>
        <w:numPr>
          <w:ilvl w:val="0"/>
          <w:numId w:val="10"/>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b/>
          <w:bCs/>
          <w:i/>
          <w:iCs/>
          <w:sz w:val="20"/>
          <w:szCs w:val="20"/>
          <w:lang w:val="en-US" w:eastAsia="zh-CN"/>
        </w:rPr>
      </w:pPr>
      <w:r>
        <w:rPr>
          <w:rFonts w:hint="default" w:ascii="Times New Roman" w:hAnsi="Times New Roman"/>
          <w:b/>
          <w:bCs/>
          <w:i/>
          <w:iCs/>
          <w:sz w:val="20"/>
          <w:szCs w:val="20"/>
          <w:lang w:val="en-US" w:eastAsia="zh-CN"/>
        </w:rPr>
        <w:t>Case 2: X1 &gt;= X3 and X2 &lt; X3</w:t>
      </w:r>
    </w:p>
    <w:p w14:paraId="748B0DF7">
      <w:pPr>
        <w:keepNext w:val="0"/>
        <w:keepLines w:val="0"/>
        <w:pageBreakBefore w:val="0"/>
        <w:widowControl w:val="0"/>
        <w:numPr>
          <w:ilvl w:val="0"/>
          <w:numId w:val="10"/>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b/>
          <w:bCs/>
          <w:i/>
          <w:iCs/>
          <w:sz w:val="20"/>
          <w:szCs w:val="20"/>
          <w:lang w:val="en-US" w:eastAsia="zh-CN"/>
        </w:rPr>
      </w:pPr>
      <w:r>
        <w:rPr>
          <w:rFonts w:hint="default" w:ascii="Times New Roman" w:hAnsi="Times New Roman"/>
          <w:b/>
          <w:bCs/>
          <w:i/>
          <w:iCs/>
          <w:sz w:val="20"/>
          <w:szCs w:val="20"/>
          <w:lang w:val="en-US" w:eastAsia="zh-CN"/>
        </w:rPr>
        <w:t>Case 3: X1 &lt; X3 and X2 &lt; X3, (X1 + X2) &gt;= X3</w:t>
      </w:r>
    </w:p>
    <w:p w14:paraId="484E69B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6: it is proposed to define test cases on CSI-RS L1 measurement with CSI-RS resources distributed over SBFD and non-SBFD symbols  </w:t>
      </w:r>
    </w:p>
    <w:p w14:paraId="20E9C3C5">
      <w:pPr>
        <w:tabs>
          <w:tab w:val="left" w:pos="1134"/>
        </w:tabs>
        <w:spacing w:after="180" w:line="240" w:lineRule="exact"/>
        <w:rPr>
          <w:rFonts w:hint="eastAsia" w:ascii="Times New Roman" w:hAnsi="Times New Roman"/>
          <w:sz w:val="20"/>
          <w:szCs w:val="20"/>
          <w:highlight w:val="none"/>
        </w:rPr>
      </w:pPr>
    </w:p>
    <w:p w14:paraId="54BE5A42">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C60A1B9">
      <w:pPr>
        <w:pStyle w:val="13"/>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41614</w:t>
      </w:r>
      <w:r>
        <w:rPr>
          <w:rFonts w:ascii="Times" w:hAnsi="Times" w:eastAsia="宋体"/>
          <w:b w:val="0"/>
          <w:sz w:val="20"/>
          <w:lang w:eastAsia="zh-CN"/>
        </w:rPr>
        <w:t xml:space="preserve">, </w:t>
      </w:r>
      <w:r>
        <w:rPr>
          <w:rFonts w:hint="eastAsia" w:ascii="Times" w:hAnsi="Times" w:eastAsia="宋体"/>
          <w:b w:val="0"/>
          <w:sz w:val="20"/>
          <w:lang w:eastAsia="zh-CN"/>
        </w:rPr>
        <w:t>Revised WID: Evolution of NR duplex operation: Sub-band full duplex (SBFD)</w:t>
      </w:r>
    </w:p>
    <w:p w14:paraId="371FE1D6">
      <w:pPr>
        <w:pStyle w:val="13"/>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R4-2508274</w:t>
      </w:r>
      <w:r>
        <w:rPr>
          <w:rFonts w:hint="eastAsia" w:ascii="Times" w:hAnsi="Times" w:eastAsia="宋体"/>
          <w:b w:val="0"/>
          <w:sz w:val="20"/>
          <w:lang w:val="en-US" w:eastAsia="zh-CN"/>
        </w:rPr>
        <w:t>, WF on RRM requirements for NR_duplex_evo, Huawei, HiSilicon</w:t>
      </w:r>
    </w:p>
    <w:p w14:paraId="3901CFCF">
      <w:pPr>
        <w:pStyle w:val="13"/>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R4-2504904</w:t>
      </w:r>
      <w:r>
        <w:rPr>
          <w:rFonts w:hint="eastAsia" w:ascii="Times" w:hAnsi="Times" w:eastAsia="宋体"/>
          <w:b w:val="0"/>
          <w:sz w:val="20"/>
          <w:lang w:val="en-US" w:eastAsia="zh-CN"/>
        </w:rPr>
        <w:t>, WF on RRM requirements for NR_duplex_evo, Huawei, HiSilicon</w:t>
      </w:r>
    </w:p>
    <w:p w14:paraId="744D8755">
      <w:pPr>
        <w:pStyle w:val="13"/>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w:t>
      </w:r>
      <w:r>
        <w:rPr>
          <w:rFonts w:hint="eastAsia" w:ascii="Times" w:hAnsi="Times" w:eastAsia="宋体"/>
          <w:b w:val="0"/>
          <w:sz w:val="20"/>
          <w:lang w:val="en-US" w:eastAsia="zh-CN"/>
        </w:rPr>
        <w:t>502699, WF on RRM requirements for NR_duplex_evo, Huawei, HiSilicon, Apple</w:t>
      </w:r>
    </w:p>
    <w:p w14:paraId="253D06AD">
      <w:pPr>
        <w:pStyle w:val="13"/>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w:t>
      </w:r>
      <w:r>
        <w:rPr>
          <w:rFonts w:hint="eastAsia" w:ascii="Times" w:hAnsi="Times" w:eastAsia="宋体"/>
          <w:b w:val="0"/>
          <w:sz w:val="20"/>
          <w:lang w:val="en-US" w:eastAsia="zh-CN"/>
        </w:rPr>
        <w:t>20097, WF on RRM requirements for NR_duplex_evo, Huawei, HiSilicon</w:t>
      </w:r>
    </w:p>
    <w:p w14:paraId="2D55E443">
      <w:pPr>
        <w:pStyle w:val="13"/>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R4-2416919</w:t>
      </w:r>
      <w:r>
        <w:rPr>
          <w:rFonts w:hint="eastAsia" w:ascii="Times" w:hAnsi="Times" w:eastAsia="宋体"/>
          <w:b w:val="0"/>
          <w:sz w:val="20"/>
          <w:lang w:val="en-US" w:eastAsia="zh-CN"/>
        </w:rPr>
        <w:t xml:space="preserve">, </w:t>
      </w:r>
      <w:r>
        <w:rPr>
          <w:rFonts w:hint="eastAsia" w:ascii="Times" w:hAnsi="Times" w:eastAsia="宋体"/>
          <w:b w:val="0"/>
          <w:sz w:val="20"/>
          <w:lang w:eastAsia="zh-CN"/>
        </w:rPr>
        <w:t>LS on the scenarios of UE-to-UE CLI measurement report in SBFD operation</w:t>
      </w:r>
    </w:p>
    <w:p w14:paraId="46819DFF">
      <w:pPr>
        <w:pStyle w:val="13"/>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R1-2410890, Reply LS on the scenarios of UE-to-UE CLI measurement report in SBFD operation</w:t>
      </w:r>
    </w:p>
    <w:p w14:paraId="10B1F6D9">
      <w:pPr>
        <w:pStyle w:val="13"/>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R4-2416910</w:t>
      </w:r>
      <w:r>
        <w:rPr>
          <w:rFonts w:hint="eastAsia" w:ascii="Times" w:hAnsi="Times" w:eastAsia="宋体"/>
          <w:b w:val="0"/>
          <w:sz w:val="20"/>
          <w:lang w:val="en-US" w:eastAsia="zh-CN"/>
        </w:rPr>
        <w:t>, Simulation assumption for evaluate L1- SRS-RSRP measurement requirements, Ericsson</w:t>
      </w:r>
    </w:p>
    <w:p w14:paraId="1BDF6901">
      <w:pPr>
        <w:pStyle w:val="13"/>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w:t>
      </w:r>
      <w:r>
        <w:rPr>
          <w:rFonts w:hint="eastAsia" w:ascii="Times" w:hAnsi="Times" w:eastAsia="宋体"/>
          <w:b w:val="0"/>
          <w:sz w:val="20"/>
          <w:lang w:val="en-US" w:eastAsia="zh-CN"/>
        </w:rPr>
        <w:t xml:space="preserve">502633, </w:t>
      </w:r>
      <w:r>
        <w:rPr>
          <w:rFonts w:hint="eastAsia" w:ascii="Times" w:hAnsi="Times" w:eastAsia="宋体"/>
          <w:b w:val="0"/>
          <w:sz w:val="20"/>
          <w:lang w:eastAsia="zh-CN"/>
        </w:rPr>
        <w:t>Updated summary of simulation results for L1-SRS-RSRP</w:t>
      </w:r>
      <w:r>
        <w:rPr>
          <w:rFonts w:hint="eastAsia" w:ascii="Times" w:hAnsi="Times" w:eastAsia="宋体"/>
          <w:b w:val="0"/>
          <w:sz w:val="20"/>
          <w:lang w:val="en-US" w:eastAsia="zh-CN"/>
        </w:rPr>
        <w:t>, Huawei, HiSilicon</w:t>
      </w:r>
    </w:p>
    <w:p w14:paraId="184DB867">
      <w:pPr>
        <w:pStyle w:val="13"/>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R4-2416858</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NR_duplex_evo</w:t>
      </w:r>
      <w:r>
        <w:rPr>
          <w:rFonts w:hint="eastAsia" w:ascii="Times" w:hAnsi="Times" w:eastAsia="宋体"/>
          <w:b w:val="0"/>
          <w:sz w:val="20"/>
          <w:lang w:val="en-US" w:eastAsia="zh-CN"/>
        </w:rPr>
        <w:t>, Huawei, HiSilicon</w:t>
      </w:r>
    </w:p>
    <w:p w14:paraId="7891C189">
      <w:pPr>
        <w:pStyle w:val="13"/>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 xml:space="preserve">3900, </w:t>
      </w:r>
      <w:r>
        <w:rPr>
          <w:rFonts w:hint="eastAsia" w:ascii="Times" w:hAnsi="Times" w:eastAsia="宋体"/>
          <w:b w:val="0"/>
          <w:sz w:val="20"/>
          <w:lang w:eastAsia="zh-CN"/>
        </w:rPr>
        <w:t>WF on SBFD RRM</w:t>
      </w:r>
      <w:r>
        <w:rPr>
          <w:rFonts w:hint="eastAsia" w:ascii="Times" w:hAnsi="Times" w:eastAsia="宋体"/>
          <w:b w:val="0"/>
          <w:sz w:val="20"/>
          <w:lang w:val="en-US" w:eastAsia="zh-CN"/>
        </w:rPr>
        <w:t>, Huawei, HiSilicon</w:t>
      </w:r>
    </w:p>
    <w:p w14:paraId="221CA3CA">
      <w:pPr>
        <w:pStyle w:val="13"/>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R4-2416910</w:t>
      </w:r>
      <w:r>
        <w:rPr>
          <w:rFonts w:hint="eastAsia" w:ascii="Times" w:hAnsi="Times" w:eastAsia="宋体"/>
          <w:b w:val="0"/>
          <w:sz w:val="20"/>
          <w:lang w:val="en-US" w:eastAsia="zh-CN"/>
        </w:rPr>
        <w:t xml:space="preserve">, </w:t>
      </w:r>
      <w:r>
        <w:rPr>
          <w:rFonts w:hint="eastAsia" w:ascii="Times" w:hAnsi="Times" w:eastAsia="宋体"/>
          <w:b w:val="0"/>
          <w:sz w:val="20"/>
          <w:lang w:eastAsia="zh-CN"/>
        </w:rPr>
        <w:t>Simulation assumption for evaluate L1- SRS-RSRP measurement requirements</w:t>
      </w:r>
      <w:r>
        <w:rPr>
          <w:rFonts w:hint="eastAsia" w:ascii="Times" w:hAnsi="Times" w:eastAsia="宋体"/>
          <w:b w:val="0"/>
          <w:sz w:val="20"/>
          <w:lang w:val="en-US" w:eastAsia="zh-CN"/>
        </w:rPr>
        <w:t>, Ericsson</w:t>
      </w:r>
    </w:p>
    <w:p w14:paraId="2CD0C3B6">
      <w:pPr>
        <w:pStyle w:val="13"/>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hint="eastAsia" w:ascii="Times" w:hAnsi="Times" w:eastAsia="宋体"/>
          <w:b w:val="0"/>
          <w:sz w:val="20"/>
          <w:lang w:eastAsia="zh-CN"/>
        </w:rPr>
      </w:pPr>
      <w:r>
        <w:rPr>
          <w:rFonts w:hint="eastAsia" w:ascii="Times" w:hAnsi="Times" w:eastAsia="宋体"/>
          <w:b w:val="0"/>
          <w:sz w:val="20"/>
          <w:lang w:eastAsia="zh-CN"/>
        </w:rPr>
        <w:t>R1-2501620</w:t>
      </w:r>
      <w:r>
        <w:rPr>
          <w:rFonts w:hint="eastAsia" w:ascii="Times" w:hAnsi="Times" w:eastAsia="宋体"/>
          <w:b w:val="0"/>
          <w:sz w:val="20"/>
          <w:lang w:val="en-US" w:eastAsia="zh-CN"/>
        </w:rPr>
        <w:t xml:space="preserve">, </w:t>
      </w:r>
      <w:r>
        <w:rPr>
          <w:rFonts w:hint="eastAsia" w:ascii="Times" w:hAnsi="Times" w:eastAsia="宋体"/>
          <w:b w:val="0"/>
          <w:sz w:val="20"/>
          <w:lang w:eastAsia="zh-CN"/>
        </w:rPr>
        <w:t>LS on L1 based UE-to-UE CLI measurement and reporting</w:t>
      </w:r>
    </w:p>
    <w:p w14:paraId="24E42CB0">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231A50B7">
      <w:pPr>
        <w:pStyle w:val="13"/>
        <w:framePr w:wrap="auto" w:vAnchor="margin" w:hAnchor="text" w:yAlign="inline"/>
        <w:ind w:right="400"/>
        <w:jc w:val="both"/>
        <w:rPr>
          <w:rFonts w:ascii="Times" w:hAnsi="Times" w:eastAsia="宋体"/>
          <w:b w:val="0"/>
          <w:sz w:val="20"/>
          <w:lang w:eastAsia="zh-CN"/>
        </w:rPr>
      </w:pPr>
    </w:p>
    <w:p w14:paraId="0A523C19">
      <w:pPr>
        <w:pStyle w:val="13"/>
        <w:framePr w:wrap="auto" w:vAnchor="margin" w:hAnchor="text" w:yAlign="inline"/>
        <w:ind w:right="400"/>
        <w:jc w:val="both"/>
        <w:rPr>
          <w:rFonts w:hint="eastAsia" w:ascii="Times" w:hAnsi="Times" w:eastAsia="宋体"/>
          <w:b w:val="0"/>
          <w:sz w:val="20"/>
          <w:lang w:val="en-US" w:eastAsia="zh-CN"/>
        </w:rPr>
      </w:pPr>
    </w:p>
    <w:p w14:paraId="0EEF2378"/>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方正书宋_GBK">
    <w:panose1 w:val="02000000000000000000"/>
    <w:charset w:val="86"/>
    <w:family w:val="auto"/>
    <w:pitch w:val="default"/>
    <w:sig w:usb0="A00002BF" w:usb1="38CF7CFA" w:usb2="00082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auto"/>
    <w:pitch w:val="default"/>
    <w:sig w:usb0="E1002EFF" w:usb1="C000605B" w:usb2="00000029" w:usb3="00000000" w:csb0="200101FF" w:csb1="20280000"/>
  </w:font>
  <w:font w:name="Bradley Hand ITC">
    <w:panose1 w:val="03070402050302030203"/>
    <w:charset w:val="00"/>
    <w:family w:val="auto"/>
    <w:pitch w:val="default"/>
    <w:sig w:usb0="00000003" w:usb1="00000000" w:usb2="00000000" w:usb3="00000000" w:csb0="20000001" w:csb1="00000000"/>
  </w:font>
  <w:font w:name="Broadway">
    <w:panose1 w:val="04040905080B02020502"/>
    <w:charset w:val="00"/>
    <w:family w:val="auto"/>
    <w:pitch w:val="default"/>
    <w:sig w:usb0="00000003" w:usb1="00000000" w:usb2="00000000" w:usb3="00000000" w:csb0="2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F9FC28"/>
    <w:multiLevelType w:val="multilevel"/>
    <w:tmpl w:val="B1F9FC2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方正书宋_GBK" w:hAnsi="方正书宋_GBK"/>
      </w:rPr>
    </w:lvl>
    <w:lvl w:ilvl="2" w:tentative="0">
      <w:start w:val="1"/>
      <w:numFmt w:val="bullet"/>
      <w:lvlText w:val=""/>
      <w:lvlJc w:val="left"/>
      <w:pPr>
        <w:tabs>
          <w:tab w:val="left" w:pos="1260"/>
        </w:tabs>
        <w:ind w:left="1260" w:leftChars="0" w:hanging="420" w:firstLineChars="0"/>
      </w:pPr>
      <w:rPr>
        <w:rFonts w:hint="default" w:ascii="方正书宋_GBK" w:hAnsi="方正书宋_GBK"/>
      </w:rPr>
    </w:lvl>
    <w:lvl w:ilvl="3" w:tentative="0">
      <w:start w:val="1"/>
      <w:numFmt w:val="bullet"/>
      <w:lvlText w:val=""/>
      <w:lvlJc w:val="left"/>
      <w:pPr>
        <w:tabs>
          <w:tab w:val="left" w:pos="1680"/>
        </w:tabs>
        <w:ind w:left="1680" w:leftChars="0" w:hanging="420" w:firstLineChars="0"/>
      </w:pPr>
      <w:rPr>
        <w:rFonts w:hint="default" w:ascii="方正书宋_GBK" w:hAnsi="方正书宋_GBK"/>
      </w:rPr>
    </w:lvl>
    <w:lvl w:ilvl="4" w:tentative="0">
      <w:start w:val="1"/>
      <w:numFmt w:val="bullet"/>
      <w:lvlText w:val=""/>
      <w:lvlJc w:val="left"/>
      <w:pPr>
        <w:tabs>
          <w:tab w:val="left" w:pos="2100"/>
        </w:tabs>
        <w:ind w:left="2100" w:leftChars="0" w:hanging="420" w:firstLineChars="0"/>
      </w:pPr>
      <w:rPr>
        <w:rFonts w:hint="default" w:ascii="方正书宋_GBK" w:hAnsi="方正书宋_GBK"/>
      </w:rPr>
    </w:lvl>
    <w:lvl w:ilvl="5" w:tentative="0">
      <w:start w:val="1"/>
      <w:numFmt w:val="bullet"/>
      <w:lvlText w:val=""/>
      <w:lvlJc w:val="left"/>
      <w:pPr>
        <w:tabs>
          <w:tab w:val="left" w:pos="2520"/>
        </w:tabs>
        <w:ind w:left="2520" w:leftChars="0" w:hanging="420" w:firstLineChars="0"/>
      </w:pPr>
      <w:rPr>
        <w:rFonts w:hint="default" w:ascii="方正书宋_GBK" w:hAnsi="方正书宋_GBK"/>
      </w:rPr>
    </w:lvl>
    <w:lvl w:ilvl="6" w:tentative="0">
      <w:start w:val="1"/>
      <w:numFmt w:val="bullet"/>
      <w:lvlText w:val=""/>
      <w:lvlJc w:val="left"/>
      <w:pPr>
        <w:tabs>
          <w:tab w:val="left" w:pos="2940"/>
        </w:tabs>
        <w:ind w:left="2940" w:leftChars="0" w:hanging="420" w:firstLineChars="0"/>
      </w:pPr>
      <w:rPr>
        <w:rFonts w:hint="default" w:ascii="方正书宋_GBK" w:hAnsi="方正书宋_GBK"/>
      </w:rPr>
    </w:lvl>
    <w:lvl w:ilvl="7" w:tentative="0">
      <w:start w:val="1"/>
      <w:numFmt w:val="bullet"/>
      <w:lvlText w:val=""/>
      <w:lvlJc w:val="left"/>
      <w:pPr>
        <w:tabs>
          <w:tab w:val="left" w:pos="3360"/>
        </w:tabs>
        <w:ind w:left="3360" w:leftChars="0" w:hanging="420" w:firstLineChars="0"/>
      </w:pPr>
      <w:rPr>
        <w:rFonts w:hint="default" w:ascii="方正书宋_GBK" w:hAnsi="方正书宋_GBK"/>
      </w:rPr>
    </w:lvl>
    <w:lvl w:ilvl="8" w:tentative="0">
      <w:start w:val="1"/>
      <w:numFmt w:val="bullet"/>
      <w:lvlText w:val=""/>
      <w:lvlJc w:val="left"/>
      <w:pPr>
        <w:tabs>
          <w:tab w:val="left" w:pos="3780"/>
        </w:tabs>
        <w:ind w:left="3780" w:leftChars="0" w:hanging="420" w:firstLineChars="0"/>
      </w:pPr>
      <w:rPr>
        <w:rFonts w:hint="default" w:ascii="方正书宋_GBK" w:hAnsi="方正书宋_GBK"/>
      </w:rPr>
    </w:lvl>
  </w:abstractNum>
  <w:abstractNum w:abstractNumId="1">
    <w:nsid w:val="B3FDDE71"/>
    <w:multiLevelType w:val="multilevel"/>
    <w:tmpl w:val="B3FDDE7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方正书宋_GBK" w:hAnsi="方正书宋_GBK"/>
      </w:rPr>
    </w:lvl>
    <w:lvl w:ilvl="2" w:tentative="0">
      <w:start w:val="1"/>
      <w:numFmt w:val="bullet"/>
      <w:lvlText w:val=""/>
      <w:lvlJc w:val="left"/>
      <w:pPr>
        <w:tabs>
          <w:tab w:val="left" w:pos="1260"/>
        </w:tabs>
        <w:ind w:left="1260" w:leftChars="0" w:hanging="420" w:firstLineChars="0"/>
      </w:pPr>
      <w:rPr>
        <w:rFonts w:hint="default" w:ascii="方正书宋_GBK" w:hAnsi="方正书宋_GBK"/>
      </w:rPr>
    </w:lvl>
    <w:lvl w:ilvl="3" w:tentative="0">
      <w:start w:val="1"/>
      <w:numFmt w:val="bullet"/>
      <w:lvlText w:val=""/>
      <w:lvlJc w:val="left"/>
      <w:pPr>
        <w:tabs>
          <w:tab w:val="left" w:pos="1680"/>
        </w:tabs>
        <w:ind w:left="1680" w:leftChars="0" w:hanging="420" w:firstLineChars="0"/>
      </w:pPr>
      <w:rPr>
        <w:rFonts w:hint="default" w:ascii="方正书宋_GBK" w:hAnsi="方正书宋_GBK"/>
      </w:rPr>
    </w:lvl>
    <w:lvl w:ilvl="4" w:tentative="0">
      <w:start w:val="1"/>
      <w:numFmt w:val="bullet"/>
      <w:lvlText w:val=""/>
      <w:lvlJc w:val="left"/>
      <w:pPr>
        <w:tabs>
          <w:tab w:val="left" w:pos="2100"/>
        </w:tabs>
        <w:ind w:left="2100" w:leftChars="0" w:hanging="420" w:firstLineChars="0"/>
      </w:pPr>
      <w:rPr>
        <w:rFonts w:hint="default" w:ascii="方正书宋_GBK" w:hAnsi="方正书宋_GBK"/>
      </w:rPr>
    </w:lvl>
    <w:lvl w:ilvl="5" w:tentative="0">
      <w:start w:val="1"/>
      <w:numFmt w:val="bullet"/>
      <w:lvlText w:val=""/>
      <w:lvlJc w:val="left"/>
      <w:pPr>
        <w:tabs>
          <w:tab w:val="left" w:pos="2520"/>
        </w:tabs>
        <w:ind w:left="2520" w:leftChars="0" w:hanging="420" w:firstLineChars="0"/>
      </w:pPr>
      <w:rPr>
        <w:rFonts w:hint="default" w:ascii="方正书宋_GBK" w:hAnsi="方正书宋_GBK"/>
      </w:rPr>
    </w:lvl>
    <w:lvl w:ilvl="6" w:tentative="0">
      <w:start w:val="1"/>
      <w:numFmt w:val="bullet"/>
      <w:lvlText w:val=""/>
      <w:lvlJc w:val="left"/>
      <w:pPr>
        <w:tabs>
          <w:tab w:val="left" w:pos="2940"/>
        </w:tabs>
        <w:ind w:left="2940" w:leftChars="0" w:hanging="420" w:firstLineChars="0"/>
      </w:pPr>
      <w:rPr>
        <w:rFonts w:hint="default" w:ascii="方正书宋_GBK" w:hAnsi="方正书宋_GBK"/>
      </w:rPr>
    </w:lvl>
    <w:lvl w:ilvl="7" w:tentative="0">
      <w:start w:val="1"/>
      <w:numFmt w:val="bullet"/>
      <w:lvlText w:val=""/>
      <w:lvlJc w:val="left"/>
      <w:pPr>
        <w:tabs>
          <w:tab w:val="left" w:pos="3360"/>
        </w:tabs>
        <w:ind w:left="3360" w:leftChars="0" w:hanging="420" w:firstLineChars="0"/>
      </w:pPr>
      <w:rPr>
        <w:rFonts w:hint="default" w:ascii="方正书宋_GBK" w:hAnsi="方正书宋_GBK"/>
      </w:rPr>
    </w:lvl>
    <w:lvl w:ilvl="8" w:tentative="0">
      <w:start w:val="1"/>
      <w:numFmt w:val="bullet"/>
      <w:lvlText w:val=""/>
      <w:lvlJc w:val="left"/>
      <w:pPr>
        <w:tabs>
          <w:tab w:val="left" w:pos="3780"/>
        </w:tabs>
        <w:ind w:left="3780" w:leftChars="0" w:hanging="420" w:firstLineChars="0"/>
      </w:pPr>
      <w:rPr>
        <w:rFonts w:hint="default" w:ascii="方正书宋_GBK" w:hAnsi="方正书宋_GBK"/>
      </w:rPr>
    </w:lvl>
  </w:abstractNum>
  <w:abstractNum w:abstractNumId="2">
    <w:nsid w:val="07B3539B"/>
    <w:multiLevelType w:val="singleLevel"/>
    <w:tmpl w:val="07B3539B"/>
    <w:lvl w:ilvl="0" w:tentative="0">
      <w:start w:val="1"/>
      <w:numFmt w:val="bullet"/>
      <w:lvlText w:val=""/>
      <w:lvlJc w:val="left"/>
      <w:pPr>
        <w:tabs>
          <w:tab w:val="left" w:pos="420"/>
        </w:tabs>
        <w:ind w:left="840" w:hanging="420"/>
      </w:pPr>
      <w:rPr>
        <w:rFonts w:hint="default" w:ascii="Wingdings" w:hAnsi="Wingdings"/>
      </w:rPr>
    </w:lvl>
  </w:abstractNum>
  <w:abstractNum w:abstractNumId="3">
    <w:nsid w:val="0862FA78"/>
    <w:multiLevelType w:val="multilevel"/>
    <w:tmpl w:val="0862FA7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4">
    <w:nsid w:val="15C3990E"/>
    <w:multiLevelType w:val="singleLevel"/>
    <w:tmpl w:val="15C3990E"/>
    <w:lvl w:ilvl="0" w:tentative="0">
      <w:start w:val="1"/>
      <w:numFmt w:val="bullet"/>
      <w:lvlText w:val=""/>
      <w:lvlJc w:val="left"/>
      <w:pPr>
        <w:tabs>
          <w:tab w:val="left" w:pos="420"/>
        </w:tabs>
        <w:ind w:left="840" w:hanging="420"/>
      </w:pPr>
      <w:rPr>
        <w:rFonts w:hint="default" w:ascii="Wingdings" w:hAnsi="Wingdings"/>
      </w:rPr>
    </w:lvl>
  </w:abstractNum>
  <w:abstractNum w:abstractNumId="5">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1E9EF811"/>
    <w:multiLevelType w:val="singleLevel"/>
    <w:tmpl w:val="1E9EF811"/>
    <w:lvl w:ilvl="0" w:tentative="0">
      <w:start w:val="1"/>
      <w:numFmt w:val="decimal"/>
      <w:suff w:val="space"/>
      <w:lvlText w:val="[%1]"/>
      <w:lvlJc w:val="left"/>
    </w:lvl>
  </w:abstractNum>
  <w:abstractNum w:abstractNumId="7">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8">
    <w:nsid w:val="58116A02"/>
    <w:multiLevelType w:val="singleLevel"/>
    <w:tmpl w:val="58116A02"/>
    <w:lvl w:ilvl="0" w:tentative="0">
      <w:start w:val="1"/>
      <w:numFmt w:val="bullet"/>
      <w:lvlText w:val=""/>
      <w:lvlJc w:val="left"/>
      <w:pPr>
        <w:ind w:left="420" w:hanging="420"/>
      </w:pPr>
      <w:rPr>
        <w:rFonts w:hint="default" w:ascii="Wingdings" w:hAnsi="Wingdings"/>
      </w:rPr>
    </w:lvl>
  </w:abstractNum>
  <w:abstractNum w:abstractNumId="9">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8"/>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0"/>
  </w:num>
  <w:num w:numId="2">
    <w:abstractNumId w:val="7"/>
  </w:num>
  <w:num w:numId="3">
    <w:abstractNumId w:val="5"/>
  </w:num>
  <w:num w:numId="4">
    <w:abstractNumId w:val="9"/>
  </w:num>
  <w:num w:numId="5">
    <w:abstractNumId w:val="8"/>
  </w:num>
  <w:num w:numId="6">
    <w:abstractNumId w:val="3"/>
  </w:num>
  <w:num w:numId="7">
    <w:abstractNumId w:val="0"/>
  </w:num>
  <w:num w:numId="8">
    <w:abstractNumId w:val="2"/>
  </w:num>
  <w:num w:numId="9">
    <w:abstractNumId w:val="1"/>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E0B52"/>
    <w:rsid w:val="06A50B76"/>
    <w:rsid w:val="06BB2083"/>
    <w:rsid w:val="08375E63"/>
    <w:rsid w:val="08D72A91"/>
    <w:rsid w:val="0A7A49BE"/>
    <w:rsid w:val="0A922065"/>
    <w:rsid w:val="0B1579BA"/>
    <w:rsid w:val="0BB44D87"/>
    <w:rsid w:val="0CD8520D"/>
    <w:rsid w:val="0DD40EBD"/>
    <w:rsid w:val="0E367C5D"/>
    <w:rsid w:val="0F095A37"/>
    <w:rsid w:val="105B6EC8"/>
    <w:rsid w:val="11604C92"/>
    <w:rsid w:val="11D129C7"/>
    <w:rsid w:val="12236F4E"/>
    <w:rsid w:val="13057541"/>
    <w:rsid w:val="196675BB"/>
    <w:rsid w:val="197D0A1F"/>
    <w:rsid w:val="19A91D8B"/>
    <w:rsid w:val="19CE05F3"/>
    <w:rsid w:val="1AF8515B"/>
    <w:rsid w:val="1B65127F"/>
    <w:rsid w:val="1BC06F9C"/>
    <w:rsid w:val="1CB317C0"/>
    <w:rsid w:val="1CEC5C03"/>
    <w:rsid w:val="1E9601BD"/>
    <w:rsid w:val="1FCF11BE"/>
    <w:rsid w:val="20282B52"/>
    <w:rsid w:val="20372402"/>
    <w:rsid w:val="208805ED"/>
    <w:rsid w:val="22ED6B5D"/>
    <w:rsid w:val="23657AA0"/>
    <w:rsid w:val="24FC7E99"/>
    <w:rsid w:val="2509234F"/>
    <w:rsid w:val="28501313"/>
    <w:rsid w:val="2A3C1140"/>
    <w:rsid w:val="2A552882"/>
    <w:rsid w:val="2B936BAA"/>
    <w:rsid w:val="2BD8717A"/>
    <w:rsid w:val="2CB20162"/>
    <w:rsid w:val="2D2B45A9"/>
    <w:rsid w:val="2E8A1F67"/>
    <w:rsid w:val="2FCE1F78"/>
    <w:rsid w:val="31174DA4"/>
    <w:rsid w:val="312F6D42"/>
    <w:rsid w:val="31E51409"/>
    <w:rsid w:val="32886F74"/>
    <w:rsid w:val="33552E44"/>
    <w:rsid w:val="354F3741"/>
    <w:rsid w:val="3555506A"/>
    <w:rsid w:val="38A21551"/>
    <w:rsid w:val="3B8D0A22"/>
    <w:rsid w:val="3C0E0A5C"/>
    <w:rsid w:val="3E2E4312"/>
    <w:rsid w:val="3EC83B67"/>
    <w:rsid w:val="3F0D09C6"/>
    <w:rsid w:val="3F3E1E72"/>
    <w:rsid w:val="3FE206D5"/>
    <w:rsid w:val="40BB4940"/>
    <w:rsid w:val="40C377CE"/>
    <w:rsid w:val="41206955"/>
    <w:rsid w:val="41C932CA"/>
    <w:rsid w:val="43247753"/>
    <w:rsid w:val="43394480"/>
    <w:rsid w:val="44767BDF"/>
    <w:rsid w:val="44DC6CDB"/>
    <w:rsid w:val="44FF5255"/>
    <w:rsid w:val="46CC1F51"/>
    <w:rsid w:val="46ED24A2"/>
    <w:rsid w:val="487E0D7E"/>
    <w:rsid w:val="4AD7736C"/>
    <w:rsid w:val="4B8A3F84"/>
    <w:rsid w:val="4C3B4A29"/>
    <w:rsid w:val="4CD27092"/>
    <w:rsid w:val="4D416DCE"/>
    <w:rsid w:val="4D594475"/>
    <w:rsid w:val="4E257040"/>
    <w:rsid w:val="4E6E0718"/>
    <w:rsid w:val="4EB93137"/>
    <w:rsid w:val="514E65F3"/>
    <w:rsid w:val="516B68C8"/>
    <w:rsid w:val="532C2301"/>
    <w:rsid w:val="56DA3153"/>
    <w:rsid w:val="56FE7B2F"/>
    <w:rsid w:val="572A2B91"/>
    <w:rsid w:val="578135A0"/>
    <w:rsid w:val="5ACF2987"/>
    <w:rsid w:val="5CCE66D5"/>
    <w:rsid w:val="5D7F2C7A"/>
    <w:rsid w:val="5FD0250C"/>
    <w:rsid w:val="603B0CB0"/>
    <w:rsid w:val="609A6C8B"/>
    <w:rsid w:val="60BD5766"/>
    <w:rsid w:val="624C0D43"/>
    <w:rsid w:val="63F97611"/>
    <w:rsid w:val="658713A2"/>
    <w:rsid w:val="665A5356"/>
    <w:rsid w:val="6684087E"/>
    <w:rsid w:val="67125837"/>
    <w:rsid w:val="681151C8"/>
    <w:rsid w:val="6A995C7D"/>
    <w:rsid w:val="6B850EE2"/>
    <w:rsid w:val="6BC309B6"/>
    <w:rsid w:val="6BF72930"/>
    <w:rsid w:val="6D6E1218"/>
    <w:rsid w:val="6EA92939"/>
    <w:rsid w:val="6F4F630E"/>
    <w:rsid w:val="70EF3E1D"/>
    <w:rsid w:val="71F80EDE"/>
    <w:rsid w:val="74B46F86"/>
    <w:rsid w:val="759E7B54"/>
    <w:rsid w:val="76542E2F"/>
    <w:rsid w:val="776F2970"/>
    <w:rsid w:val="78AA6B87"/>
    <w:rsid w:val="792027AF"/>
    <w:rsid w:val="79761752"/>
    <w:rsid w:val="7AAC00BD"/>
    <w:rsid w:val="7ADE3752"/>
    <w:rsid w:val="7D491447"/>
    <w:rsid w:val="7D6C7155"/>
    <w:rsid w:val="7D997FC8"/>
    <w:rsid w:val="7DC1309B"/>
    <w:rsid w:val="7DF870B2"/>
    <w:rsid w:val="7E2F6E92"/>
    <w:rsid w:val="7E6D5752"/>
    <w:rsid w:val="7FA04C03"/>
    <w:rsid w:val="7FD214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8">
    <w:name w:val="List"/>
    <w:basedOn w:val="1"/>
    <w:qFormat/>
    <w:uiPriority w:val="0"/>
    <w:pPr>
      <w:ind w:left="568" w:hanging="284"/>
    </w:p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TH"/>
    <w:basedOn w:val="1"/>
    <w:qFormat/>
    <w:uiPriority w:val="0"/>
    <w:pPr>
      <w:keepNext/>
      <w:keepLines/>
      <w:spacing w:before="60"/>
      <w:jc w:val="center"/>
    </w:pPr>
    <w:rPr>
      <w:rFonts w:ascii="Arial" w:hAnsi="Arial"/>
      <w:b/>
    </w:rPr>
  </w:style>
  <w:style w:type="paragraph" w:customStyle="1" w:styleId="15">
    <w:name w:val="TAH"/>
    <w:basedOn w:val="16"/>
    <w:qFormat/>
    <w:uiPriority w:val="0"/>
    <w:rPr>
      <w:b/>
    </w:rPr>
  </w:style>
  <w:style w:type="paragraph" w:customStyle="1" w:styleId="16">
    <w:name w:val="TAC"/>
    <w:basedOn w:val="17"/>
    <w:qFormat/>
    <w:uiPriority w:val="0"/>
    <w:pPr>
      <w:jc w:val="center"/>
    </w:pPr>
  </w:style>
  <w:style w:type="paragraph" w:customStyle="1" w:styleId="17">
    <w:name w:val="TAL"/>
    <w:basedOn w:val="1"/>
    <w:qFormat/>
    <w:uiPriority w:val="0"/>
    <w:pPr>
      <w:keepNext/>
      <w:keepLines/>
      <w:spacing w:after="0"/>
    </w:pPr>
    <w:rPr>
      <w:rFonts w:ascii="Arial" w:hAnsi="Arial"/>
      <w:sz w:val="18"/>
    </w:rPr>
  </w:style>
  <w:style w:type="paragraph" w:customStyle="1" w:styleId="18">
    <w:name w:val="TAN"/>
    <w:basedOn w:val="17"/>
    <w:qFormat/>
    <w:uiPriority w:val="0"/>
    <w:pPr>
      <w:ind w:left="851" w:hanging="851"/>
    </w:pPr>
  </w:style>
  <w:style w:type="paragraph" w:customStyle="1" w:styleId="19">
    <w:name w:val="B1"/>
    <w:basedOn w:val="8"/>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26</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2024-11-01T08:46:00Z</dcterms:created>
  <dc:creator>cmcc</dc:creator>
  <cp:lastModifiedBy>CMCC-RAN4#116</cp:lastModifiedBy>
  <dcterms:modified xsi:type="dcterms:W3CDTF">2025-08-15T07:51:28Z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D7914810C25943A9B23237FB063E3B17</vt:lpwstr>
  </property>
</Properties>
</file>